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0772" w14:textId="6F5B31F2" w:rsidR="00D8623A" w:rsidRDefault="00C906BE" w:rsidP="00D8623A">
      <w:pPr>
        <w:spacing w:after="200" w:line="276" w:lineRule="auto"/>
        <w:jc w:val="center"/>
        <w:rPr>
          <w:rFonts w:ascii="Cambria" w:eastAsia="MS Mincho" w:hAnsi="Cambria"/>
          <w:b/>
          <w:color w:val="0066CC"/>
          <w:sz w:val="40"/>
          <w:szCs w:val="22"/>
          <w:lang w:eastAsia="en-US"/>
        </w:rPr>
      </w:pPr>
      <w:r>
        <w:rPr>
          <w:noProof/>
          <w:sz w:val="20"/>
        </w:rPr>
        <w:drawing>
          <wp:inline distT="0" distB="0" distL="0" distR="0" wp14:anchorId="40CC1E99" wp14:editId="6CE4AFD8">
            <wp:extent cx="737375" cy="876300"/>
            <wp:effectExtent l="0" t="0" r="571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BEBA8EAE-BF5A-486C-A8C5-ECC9F3942E4B}">
                          <a14:imgProps xmlns:a14="http://schemas.microsoft.com/office/drawing/2010/main">
                            <a14:imgLayer r:embed="rId9">
                              <a14:imgEffect>
                                <a14:artisticMarker/>
                              </a14:imgEffect>
                              <a14:imgEffect>
                                <a14:sharpenSoften amount="-25000"/>
                              </a14:imgEffect>
                              <a14:imgEffect>
                                <a14:colorTemperature colorTemp="11200"/>
                              </a14:imgEffect>
                            </a14:imgLayer>
                          </a14:imgProps>
                        </a:ext>
                      </a:extLst>
                    </a:blip>
                    <a:stretch>
                      <a:fillRect/>
                    </a:stretch>
                  </pic:blipFill>
                  <pic:spPr>
                    <a:xfrm>
                      <a:off x="0" y="0"/>
                      <a:ext cx="760745" cy="904074"/>
                    </a:xfrm>
                    <a:prstGeom prst="rect">
                      <a:avLst/>
                    </a:prstGeom>
                  </pic:spPr>
                </pic:pic>
              </a:graphicData>
            </a:graphic>
          </wp:inline>
        </w:drawing>
      </w:r>
    </w:p>
    <w:p w14:paraId="23D990A9" w14:textId="77777777" w:rsidR="00D8623A" w:rsidRDefault="00D8623A" w:rsidP="00D8623A">
      <w:pPr>
        <w:spacing w:after="200" w:line="276" w:lineRule="auto"/>
        <w:rPr>
          <w:rFonts w:ascii="Cambria" w:eastAsia="MS Mincho" w:hAnsi="Cambria"/>
          <w:b/>
          <w:color w:val="0066CC"/>
          <w:sz w:val="40"/>
          <w:szCs w:val="22"/>
          <w:lang w:eastAsia="en-US"/>
        </w:rPr>
      </w:pPr>
    </w:p>
    <w:p w14:paraId="6C8F5AC4" w14:textId="51AF7A00" w:rsidR="00D8623A" w:rsidRPr="00D8623A" w:rsidRDefault="00D8623A" w:rsidP="00D8623A">
      <w:pPr>
        <w:spacing w:after="200" w:line="276" w:lineRule="auto"/>
        <w:jc w:val="center"/>
        <w:rPr>
          <w:rFonts w:ascii="Cambria" w:eastAsia="MS Mincho" w:hAnsi="Cambria"/>
          <w:sz w:val="22"/>
          <w:szCs w:val="22"/>
          <w:lang w:eastAsia="en-US"/>
        </w:rPr>
      </w:pPr>
      <w:r w:rsidRPr="00D8623A">
        <w:rPr>
          <w:rFonts w:ascii="Cambria" w:eastAsia="MS Mincho" w:hAnsi="Cambria"/>
          <w:b/>
          <w:color w:val="0066CC"/>
          <w:sz w:val="40"/>
          <w:szCs w:val="22"/>
          <w:lang w:eastAsia="en-US"/>
        </w:rPr>
        <w:t xml:space="preserve">Bashkia </w:t>
      </w:r>
      <w:r w:rsidR="00A30C84">
        <w:rPr>
          <w:rFonts w:ascii="Cambria" w:eastAsia="MS Mincho" w:hAnsi="Cambria"/>
          <w:b/>
          <w:color w:val="0066CC"/>
          <w:sz w:val="40"/>
          <w:szCs w:val="22"/>
          <w:lang w:eastAsia="en-US"/>
        </w:rPr>
        <w:t>Puke</w:t>
      </w:r>
    </w:p>
    <w:p w14:paraId="5299F3F5" w14:textId="77777777" w:rsidR="00D8623A" w:rsidRPr="00D8623A" w:rsidRDefault="00D8623A" w:rsidP="00D8623A">
      <w:pPr>
        <w:spacing w:after="200" w:line="276" w:lineRule="auto"/>
        <w:rPr>
          <w:rFonts w:ascii="Cambria" w:eastAsia="MS Mincho" w:hAnsi="Cambria"/>
          <w:sz w:val="22"/>
          <w:szCs w:val="22"/>
          <w:lang w:eastAsia="en-US"/>
        </w:rPr>
      </w:pPr>
    </w:p>
    <w:p w14:paraId="7730E76D" w14:textId="77777777" w:rsidR="00D8623A" w:rsidRDefault="00D8623A" w:rsidP="00D8623A">
      <w:pPr>
        <w:spacing w:after="200" w:line="276" w:lineRule="auto"/>
        <w:rPr>
          <w:rFonts w:ascii="Cambria" w:eastAsia="MS Mincho" w:hAnsi="Cambria"/>
          <w:b/>
          <w:color w:val="FF0066"/>
          <w:sz w:val="48"/>
          <w:szCs w:val="22"/>
          <w:lang w:eastAsia="en-US"/>
        </w:rPr>
      </w:pPr>
    </w:p>
    <w:p w14:paraId="2A2B303E" w14:textId="1E3E7105" w:rsidR="00D8623A" w:rsidRPr="00D8623A" w:rsidRDefault="001C3961" w:rsidP="00D8623A">
      <w:pPr>
        <w:spacing w:after="200" w:line="276" w:lineRule="auto"/>
        <w:jc w:val="center"/>
        <w:rPr>
          <w:rFonts w:ascii="Cambria" w:eastAsia="MS Mincho" w:hAnsi="Cambria"/>
          <w:sz w:val="22"/>
          <w:szCs w:val="22"/>
          <w:lang w:eastAsia="en-US"/>
        </w:rPr>
      </w:pPr>
      <w:r>
        <w:rPr>
          <w:b/>
          <w:noProof/>
          <w:sz w:val="20"/>
        </w:rPr>
        <w:drawing>
          <wp:anchor distT="0" distB="0" distL="0" distR="0" simplePos="0" relativeHeight="251659264" behindDoc="1" locked="0" layoutInCell="1" allowOverlap="1" wp14:anchorId="681F6C14" wp14:editId="5C8290DA">
            <wp:simplePos x="0" y="0"/>
            <wp:positionH relativeFrom="margin">
              <wp:align>left</wp:align>
            </wp:positionH>
            <wp:positionV relativeFrom="paragraph">
              <wp:posOffset>1273810</wp:posOffset>
            </wp:positionV>
            <wp:extent cx="4674903" cy="3514725"/>
            <wp:effectExtent l="0" t="0" r="0" b="0"/>
            <wp:wrapTopAndBottom/>
            <wp:docPr id="415788377" name="Image 1" descr="Pa)Barazia Gjinore dhe Femra Shqiptare | Portali informativ - Titull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a)Barazia Gjinore dhe Femra Shqiptare | Portali informativ - Titulli"/>
                    <pic:cNvPicPr/>
                  </pic:nvPicPr>
                  <pic:blipFill>
                    <a:blip r:embed="rId10" cstate="print"/>
                    <a:stretch>
                      <a:fillRect/>
                    </a:stretch>
                  </pic:blipFill>
                  <pic:spPr>
                    <a:xfrm>
                      <a:off x="0" y="0"/>
                      <a:ext cx="4674903" cy="3514725"/>
                    </a:xfrm>
                    <a:prstGeom prst="rect">
                      <a:avLst/>
                    </a:prstGeom>
                  </pic:spPr>
                </pic:pic>
              </a:graphicData>
            </a:graphic>
          </wp:anchor>
        </w:drawing>
      </w:r>
      <w:r w:rsidR="00D8623A" w:rsidRPr="00D8623A">
        <w:rPr>
          <w:rFonts w:ascii="Cambria" w:eastAsia="MS Mincho" w:hAnsi="Cambria"/>
          <w:b/>
          <w:color w:val="FF0066"/>
          <w:sz w:val="48"/>
          <w:szCs w:val="22"/>
          <w:lang w:eastAsia="en-US"/>
        </w:rPr>
        <w:t>PLANI VENDOR I VEPRIMIT PËR BARAZINË GJINORE</w:t>
      </w:r>
      <w:r w:rsidR="00D8623A" w:rsidRPr="00D8623A">
        <w:rPr>
          <w:rFonts w:ascii="Cambria" w:eastAsia="MS Mincho" w:hAnsi="Cambria"/>
          <w:b/>
          <w:color w:val="FF0066"/>
          <w:sz w:val="48"/>
          <w:szCs w:val="22"/>
          <w:lang w:eastAsia="en-US"/>
        </w:rPr>
        <w:br/>
        <w:t>202</w:t>
      </w:r>
      <w:r w:rsidR="00AD618A">
        <w:rPr>
          <w:rFonts w:ascii="Cambria" w:eastAsia="MS Mincho" w:hAnsi="Cambria"/>
          <w:b/>
          <w:color w:val="FF0066"/>
          <w:sz w:val="48"/>
          <w:szCs w:val="22"/>
          <w:lang w:eastAsia="en-US"/>
        </w:rPr>
        <w:t>6</w:t>
      </w:r>
      <w:r w:rsidR="00D8623A" w:rsidRPr="00D8623A">
        <w:rPr>
          <w:rFonts w:ascii="Cambria" w:eastAsia="MS Mincho" w:hAnsi="Cambria"/>
          <w:b/>
          <w:color w:val="FF0066"/>
          <w:sz w:val="48"/>
          <w:szCs w:val="22"/>
          <w:lang w:eastAsia="en-US"/>
        </w:rPr>
        <w:t>–2030</w:t>
      </w:r>
    </w:p>
    <w:p w14:paraId="55E686E0" w14:textId="27951B20" w:rsidR="00D8623A" w:rsidRPr="00D8623A" w:rsidRDefault="00D8623A" w:rsidP="00D8623A">
      <w:pPr>
        <w:spacing w:after="200" w:line="276" w:lineRule="auto"/>
        <w:rPr>
          <w:rFonts w:ascii="Cambria" w:eastAsia="MS Mincho" w:hAnsi="Cambria"/>
          <w:sz w:val="22"/>
          <w:szCs w:val="22"/>
          <w:lang w:eastAsia="en-US"/>
        </w:rPr>
      </w:pPr>
    </w:p>
    <w:p w14:paraId="36486C48" w14:textId="77777777" w:rsidR="001C3961" w:rsidRDefault="00D8623A" w:rsidP="004C1915">
      <w:pPr>
        <w:spacing w:after="200" w:line="276" w:lineRule="auto"/>
        <w:rPr>
          <w:rFonts w:ascii="Cambria" w:eastAsia="MS Mincho" w:hAnsi="Cambria"/>
          <w:sz w:val="22"/>
          <w:szCs w:val="22"/>
          <w:lang w:eastAsia="en-US"/>
        </w:rPr>
      </w:pPr>
      <w:r w:rsidRPr="00D8623A">
        <w:rPr>
          <w:rFonts w:ascii="Cambria" w:eastAsia="MS Mincho" w:hAnsi="Cambria"/>
          <w:i/>
          <w:color w:val="555555"/>
          <w:sz w:val="28"/>
          <w:szCs w:val="22"/>
          <w:lang w:eastAsia="en-US"/>
        </w:rPr>
        <w:t xml:space="preserve">Përgatitur nga Bashkia </w:t>
      </w:r>
      <w:r w:rsidR="00AD618A">
        <w:rPr>
          <w:rFonts w:ascii="Cambria" w:eastAsia="MS Mincho" w:hAnsi="Cambria"/>
          <w:i/>
          <w:color w:val="555555"/>
          <w:sz w:val="28"/>
          <w:szCs w:val="22"/>
          <w:lang w:eastAsia="en-US"/>
        </w:rPr>
        <w:t>Puke</w:t>
      </w:r>
    </w:p>
    <w:p w14:paraId="45169005" w14:textId="2BFC3679" w:rsidR="00D8623A" w:rsidRPr="00D8623A" w:rsidRDefault="001C3961" w:rsidP="004C1915">
      <w:pPr>
        <w:spacing w:after="200" w:line="276" w:lineRule="auto"/>
        <w:rPr>
          <w:rFonts w:ascii="Cambria" w:eastAsia="MS Mincho" w:hAnsi="Cambria"/>
          <w:sz w:val="22"/>
          <w:szCs w:val="22"/>
          <w:lang w:eastAsia="en-US"/>
        </w:rPr>
      </w:pPr>
      <w:r>
        <w:rPr>
          <w:rFonts w:ascii="Cambria" w:eastAsia="MS Mincho" w:hAnsi="Cambria"/>
          <w:sz w:val="22"/>
          <w:szCs w:val="22"/>
          <w:lang w:eastAsia="en-US"/>
        </w:rPr>
        <w:t xml:space="preserve">                                                                                                                                             </w:t>
      </w:r>
      <w:r w:rsidR="004C1915">
        <w:rPr>
          <w:rFonts w:ascii="Cambria" w:eastAsia="MS Mincho" w:hAnsi="Cambria"/>
          <w:color w:val="646464"/>
          <w:sz w:val="28"/>
          <w:szCs w:val="22"/>
          <w:lang w:eastAsia="en-US"/>
        </w:rPr>
        <w:t xml:space="preserve">  Korrik</w:t>
      </w:r>
      <w:r w:rsidR="00D8623A" w:rsidRPr="00D8623A">
        <w:rPr>
          <w:rFonts w:ascii="Cambria" w:eastAsia="MS Mincho" w:hAnsi="Cambria"/>
          <w:color w:val="646464"/>
          <w:sz w:val="28"/>
          <w:szCs w:val="22"/>
          <w:lang w:eastAsia="en-US"/>
        </w:rPr>
        <w:t xml:space="preserve"> 202</w:t>
      </w:r>
      <w:r w:rsidR="00AD618A">
        <w:rPr>
          <w:rFonts w:ascii="Cambria" w:eastAsia="MS Mincho" w:hAnsi="Cambria"/>
          <w:color w:val="646464"/>
          <w:sz w:val="28"/>
          <w:szCs w:val="22"/>
          <w:lang w:eastAsia="en-US"/>
        </w:rPr>
        <w:t>6</w:t>
      </w:r>
    </w:p>
    <w:p w14:paraId="12D6D8B2" w14:textId="05C2936E" w:rsidR="00D8623A" w:rsidRPr="001C3961" w:rsidRDefault="00D8623A" w:rsidP="001C3961">
      <w:pPr>
        <w:rPr>
          <w:lang w:val="sq-AL"/>
        </w:rPr>
      </w:pPr>
      <w:r w:rsidRPr="00D8623A">
        <w:rPr>
          <w:lang w:val="sq-AL"/>
        </w:rPr>
        <w:t>Miratuar me Vendim të Këshillit Bashkiak Nr__ Datë__,___202</w:t>
      </w:r>
      <w:r w:rsidR="00A30C84">
        <w:rPr>
          <w:lang w:val="sq-AL"/>
        </w:rPr>
        <w:t>6</w:t>
      </w:r>
    </w:p>
    <w:sdt>
      <w:sdtPr>
        <w:rPr>
          <w:rFonts w:ascii="Times New Roman" w:eastAsia="Times New Roman" w:hAnsi="Times New Roman" w:cs="Times New Roman"/>
          <w:color w:val="auto"/>
          <w:sz w:val="24"/>
          <w:szCs w:val="24"/>
          <w:lang w:eastAsia="en-GB"/>
        </w:rPr>
        <w:id w:val="1621888813"/>
        <w:docPartObj>
          <w:docPartGallery w:val="Table of Contents"/>
          <w:docPartUnique/>
        </w:docPartObj>
      </w:sdtPr>
      <w:sdtEndPr>
        <w:rPr>
          <w:b/>
          <w:bCs/>
          <w:noProof/>
        </w:rPr>
      </w:sdtEndPr>
      <w:sdtContent>
        <w:p w14:paraId="5743E626" w14:textId="77777777" w:rsidR="00D8623A" w:rsidRPr="003F50E5" w:rsidRDefault="00D8623A">
          <w:pPr>
            <w:pStyle w:val="TOCHeading"/>
            <w:rPr>
              <w:color w:val="auto"/>
            </w:rPr>
          </w:pPr>
          <w:r w:rsidRPr="003F50E5">
            <w:rPr>
              <w:color w:val="auto"/>
            </w:rPr>
            <w:t>Tabela e Përmbajtjes</w:t>
          </w:r>
        </w:p>
        <w:p w14:paraId="530C6F7B" w14:textId="1F1DA45E" w:rsidR="001C3961" w:rsidRDefault="00000000" w:rsidP="001C3961">
          <w:pPr>
            <w:rPr>
              <w:b/>
              <w:bCs/>
              <w:noProof/>
            </w:rPr>
          </w:pPr>
        </w:p>
      </w:sdtContent>
    </w:sdt>
    <w:bookmarkStart w:id="0" w:name="_Toc151145073" w:displacedByCustomXml="prev"/>
    <w:bookmarkStart w:id="1" w:name="_Toc204608628" w:displacedByCustomXml="prev"/>
    <w:p w14:paraId="0A2579FF" w14:textId="77F37CEC" w:rsidR="00C16283" w:rsidRPr="001C3961" w:rsidRDefault="00C16283" w:rsidP="001C3961">
      <w:r w:rsidRPr="008D30DB">
        <w:rPr>
          <w:lang w:val="sq-AL"/>
        </w:rPr>
        <w:t>HYRJE</w:t>
      </w:r>
      <w:bookmarkEnd w:id="1"/>
      <w:bookmarkEnd w:id="0"/>
    </w:p>
    <w:p w14:paraId="39EA325A" w14:textId="50417C91" w:rsidR="00F5448F" w:rsidRPr="003F50E5" w:rsidRDefault="00C16283" w:rsidP="00F5448F">
      <w:pPr>
        <w:jc w:val="both"/>
        <w:rPr>
          <w:szCs w:val="21"/>
          <w:shd w:val="clear" w:color="auto" w:fill="FFFFFF"/>
        </w:rPr>
      </w:pPr>
      <w:r w:rsidRPr="003F50E5">
        <w:rPr>
          <w:u w:color="FF0000"/>
          <w:lang w:val="sq-AL"/>
        </w:rPr>
        <w:t xml:space="preserve">Bashkia </w:t>
      </w:r>
      <w:r w:rsidR="00127706" w:rsidRPr="003F50E5">
        <w:rPr>
          <w:u w:color="FF0000"/>
          <w:lang w:val="sq-AL"/>
        </w:rPr>
        <w:t>Puke</w:t>
      </w:r>
      <w:r w:rsidRPr="003F50E5">
        <w:rPr>
          <w:u w:color="FF0000"/>
          <w:lang w:val="sq-AL"/>
        </w:rPr>
        <w:t xml:space="preserve"> përbëhet nga 4 njësi administrative: </w:t>
      </w:r>
      <w:r w:rsidR="00127706" w:rsidRPr="003F50E5">
        <w:rPr>
          <w:u w:color="FF0000"/>
          <w:lang w:val="sq-AL"/>
        </w:rPr>
        <w:t>Gjegjan</w:t>
      </w:r>
      <w:r w:rsidRPr="003F50E5">
        <w:rPr>
          <w:u w:color="FF0000"/>
          <w:lang w:val="sq-AL"/>
        </w:rPr>
        <w:t>,</w:t>
      </w:r>
      <w:r w:rsidR="00127706" w:rsidRPr="003F50E5">
        <w:rPr>
          <w:u w:color="FF0000"/>
          <w:lang w:val="sq-AL"/>
        </w:rPr>
        <w:t>Qele</w:t>
      </w:r>
      <w:r w:rsidR="00D22CC2" w:rsidRPr="003F50E5">
        <w:rPr>
          <w:u w:color="FF0000"/>
          <w:lang w:val="sq-AL"/>
        </w:rPr>
        <w:t>z,Luf-Qerret</w:t>
      </w:r>
      <w:r w:rsidRPr="003F50E5">
        <w:rPr>
          <w:u w:color="FF0000"/>
          <w:lang w:val="sq-AL"/>
        </w:rPr>
        <w:t>,</w:t>
      </w:r>
      <w:r w:rsidR="00D22CC2" w:rsidRPr="003F50E5">
        <w:rPr>
          <w:u w:color="FF0000"/>
          <w:lang w:val="sq-AL"/>
        </w:rPr>
        <w:t>Rrape,</w:t>
      </w:r>
      <w:r w:rsidR="00FB7905" w:rsidRPr="003F50E5">
        <w:rPr>
          <w:u w:color="FF0000"/>
          <w:lang w:val="sq-AL"/>
        </w:rPr>
        <w:t xml:space="preserve"> dhe Puka</w:t>
      </w:r>
      <w:r w:rsidR="00F5448F" w:rsidRPr="003F50E5">
        <w:rPr>
          <w:szCs w:val="21"/>
          <w:shd w:val="clear" w:color="auto" w:fill="FFFFFF"/>
        </w:rPr>
        <w:t xml:space="preserve"> ndodhet në rajonin verior të Shqipërisë dhe kufizohet në veri dhe në perëndim me Bashkinë e Vaut të Dejës, në lindje me Bashkinë Fushë Arrëz dhe në jug me Bashkitë Mirditë dhe Lezhë. Qendra e kësaj bashkie është qyteti i Pukës. Bashkia e Pukës është një ndër zonat e pasura minerare të vendit, e cila disponon gjithashtu një sipërfaqe të konsiderueshme pyjore. </w:t>
      </w:r>
    </w:p>
    <w:p w14:paraId="27CD0CE6" w14:textId="77777777" w:rsidR="00B17E18" w:rsidRPr="003F50E5" w:rsidRDefault="00C16283" w:rsidP="00B17E18">
      <w:pPr>
        <w:jc w:val="both"/>
      </w:pPr>
      <w:r w:rsidRPr="003F50E5">
        <w:rPr>
          <w:u w:color="FF0000"/>
          <w:lang w:val="sq-AL"/>
        </w:rPr>
        <w:t xml:space="preserve"> </w:t>
      </w:r>
      <w:r w:rsidR="00B17E18" w:rsidRPr="003F50E5">
        <w:t>Sipas Censit 2023, Bashkia Pukë ka një popullsi rezidente prej 6,222 banorësh, me një strukturë që pasqyron qartë tendencën e plakjes demografike. Rreth 20% e banorëve janë mbi 65 vjeç, përqindje që tejkalon ndjeshëm mesataren kombëtare dhe nënvizon domosdoshmërinë e politikave të dedikuara për moshën e tretë. Grupi në moshë pune (15–64 vjeç) përbën 66% të popullsisë, ndërsa vetëm 13.7% janë fëmijë nën 15 vjeç, çka dëshmon për një natalitet të ulët dhe një potencial të dobët për rigjenerim natyror të komunitetit në vitet e ardhshme.</w:t>
      </w:r>
    </w:p>
    <w:p w14:paraId="7C59D8B4" w14:textId="0611EC70" w:rsidR="003A5E5F" w:rsidRDefault="00B17E18" w:rsidP="003A5E5F">
      <w:pPr>
        <w:jc w:val="both"/>
      </w:pPr>
      <w:r w:rsidRPr="003F50E5">
        <w:t>Përtej këtyre të dhënave, bie në sy diferenca e ndjeshme mes popullsisë së numëruar nga Censi 2023 dhe asaj të regjistruar në Regjistrin e Gjendjes Civile më 1 janar 2024, e cila rezulton 14,352 banorë. Vetëm 43% e tyre janë realisht rezidentë në territor, duke reflektuar një nivel shumë të lartë emigrimi të brendshëm dhe jashtë vendit. Grupmosha më e prekur është ajo 0–14 vjeç, me një ulje prej 66%, e ndjekur nga grupi 15–64 vjeç me 59% më pak, çka tregon dobësim të strukturës familjare dhe të forcës punëtore. Edhe pse rënia në grupmoshën 65+ është më e moderuar (−26%), ky grup mbetet veçanërisht i ekspozuar ndaj vetmisë dhe mungesës së përkujdesjes familjare.</w:t>
      </w:r>
      <w:r w:rsidR="00E31096" w:rsidRPr="003F50E5">
        <w:rPr>
          <w:rFonts w:cs="SegoeUI-Light"/>
        </w:rPr>
        <w:t xml:space="preserve"> Të dhënat demografike të bashkisë tregojnë se popullsia ka pësuar rënie për periudhën 2001-2011. </w:t>
      </w:r>
      <w:r w:rsidR="00E31096" w:rsidRPr="003F50E5">
        <w:rPr>
          <w:rFonts w:cs="SegoeUI-Light"/>
          <w:lang w:val="de-DE"/>
        </w:rPr>
        <w:t>Ulja drastike e popullsisë shpjegohet me problemet aktuale në ekonomi, mungesa e infrastrukturës së përshtatshme dhe mungesa e investimeve në bashki. Popullsia ka tendencën të largohet drejt qendrave urbane apo drejt shteteve të tjera për kushte më të mira jetese dhe për mundësi punësimi. Ndryshimi i popullsisë për periudhën 2001-2011 paraqitet në vlerën -43.35%, më e lartë se mesatarja e Qarkut Shkodër që është -11.86%. Në rajonin e Shkodrës, pavarsisht nivelit të mirë të shtimit natyror, ulja e e vazhdueshme e popullsisë ka ndodhur si pasojë e shkallës së migrimit apo emigrimit.</w:t>
      </w:r>
      <w:r w:rsidR="003A5E5F" w:rsidRPr="003F50E5">
        <w:t xml:space="preserve"> Në këtë kontekst, Bashkia Pukë përballet me sfida të mëdha që kërkojnë një riorientim stra</w:t>
      </w:r>
      <w:r w:rsidR="003A5E5F" w:rsidRPr="007253B7">
        <w:t>tegjik të planifikimit social, duke synuar forcimin e shërbimeve për një popullsi të plakur, mbështetjen e familjeve me fëmijë dhe krijimin e kushteve të favorshme për qëndrimin dhe rikthimin e të rinjve në territor. Njëkohësisht, është thelbësore ngritja e një sistemi të besueshëm për monitorimin e popullsisë rezidente, në mënyrë që planifikimi dhe ofrimi i shërbimeve sociale të mbështeten mbi të dhëna reale, të sakta dhe të përditësuara për banorët që jetojnë aktualisht në territor.</w:t>
      </w:r>
    </w:p>
    <w:p w14:paraId="05BDF7C1" w14:textId="1DDB6DD9" w:rsidR="00E31096" w:rsidRPr="00A73115" w:rsidRDefault="00E31096" w:rsidP="00E31096">
      <w:pPr>
        <w:autoSpaceDE w:val="0"/>
        <w:autoSpaceDN w:val="0"/>
        <w:adjustRightInd w:val="0"/>
        <w:jc w:val="both"/>
        <w:rPr>
          <w:rFonts w:cs="SegoeUI-Light"/>
          <w:lang w:val="de-DE"/>
        </w:rPr>
      </w:pPr>
    </w:p>
    <w:p w14:paraId="314A056F" w14:textId="1BE968D7" w:rsidR="00E31096" w:rsidRPr="00A73115" w:rsidRDefault="00E31096" w:rsidP="00E31096">
      <w:pPr>
        <w:autoSpaceDE w:val="0"/>
        <w:autoSpaceDN w:val="0"/>
        <w:adjustRightInd w:val="0"/>
        <w:jc w:val="both"/>
        <w:rPr>
          <w:rFonts w:cs="SegoeUI-Light"/>
          <w:lang w:val="de-DE"/>
        </w:rPr>
      </w:pPr>
      <w:r w:rsidRPr="00A73115">
        <w:rPr>
          <w:rFonts w:cs="SegoeUI-Light"/>
          <w:lang w:val="de-DE"/>
        </w:rPr>
        <w:t>Aktualisht, Bashkia Pukë numëron 1</w:t>
      </w:r>
      <w:r w:rsidR="00AB4D39">
        <w:rPr>
          <w:rFonts w:cs="SegoeUI-Light"/>
          <w:lang w:val="de-DE"/>
        </w:rPr>
        <w:t>4</w:t>
      </w:r>
      <w:r w:rsidRPr="00A73115">
        <w:rPr>
          <w:rFonts w:cs="SegoeUI-Light"/>
          <w:lang w:val="de-DE"/>
        </w:rPr>
        <w:t>,</w:t>
      </w:r>
      <w:r w:rsidR="00AB4D39">
        <w:rPr>
          <w:rFonts w:cs="SegoeUI-Light"/>
          <w:lang w:val="de-DE"/>
        </w:rPr>
        <w:t>071</w:t>
      </w:r>
      <w:r w:rsidRPr="00A73115">
        <w:rPr>
          <w:rFonts w:cs="SegoeUI-Light"/>
          <w:lang w:val="de-DE"/>
        </w:rPr>
        <w:t xml:space="preserve"> banorë , ku rreth </w:t>
      </w:r>
      <w:r w:rsidR="00AB4D39">
        <w:rPr>
          <w:rFonts w:cs="SegoeUI-Light"/>
          <w:lang w:val="de-DE"/>
        </w:rPr>
        <w:t>30</w:t>
      </w:r>
      <w:r w:rsidRPr="00A73115">
        <w:rPr>
          <w:rFonts w:cs="SegoeUI-Light"/>
          <w:lang w:val="de-DE"/>
        </w:rPr>
        <w:t>% e tyre jetojnë në zonë urbane ndërsa rreth 7</w:t>
      </w:r>
      <w:r w:rsidR="00AB4D39">
        <w:rPr>
          <w:rFonts w:cs="SegoeUI-Light"/>
          <w:lang w:val="de-DE"/>
        </w:rPr>
        <w:t>0</w:t>
      </w:r>
      <w:r w:rsidRPr="00A73115">
        <w:rPr>
          <w:rFonts w:cs="SegoeUI-Light"/>
          <w:lang w:val="de-DE"/>
        </w:rPr>
        <w:t>% janë të vendosur në zonë rurale. Për shkak të numrit të banorëve, Bashkia Pukë kategorizohet si bashki e vogël. Të dhënat demografike të bashkisë tregojnë se popullsia ka pësuar rënie përgjatë viteve. Popullsia ka tendencën të largohet drejt qendrave urbane apo drejt shteteve të tjera për kushte më të mira jetese dhe për mundësi punësimi.</w:t>
      </w:r>
    </w:p>
    <w:p w14:paraId="7FBF4332" w14:textId="77777777" w:rsidR="00E31096" w:rsidRPr="00A73115" w:rsidRDefault="00E31096" w:rsidP="00E31096">
      <w:pPr>
        <w:autoSpaceDE w:val="0"/>
        <w:autoSpaceDN w:val="0"/>
        <w:adjustRightInd w:val="0"/>
        <w:jc w:val="both"/>
        <w:rPr>
          <w:rFonts w:cs="SegoeUI-Light"/>
          <w:lang w:val="de-DE"/>
        </w:rPr>
      </w:pPr>
    </w:p>
    <w:p w14:paraId="6781C721" w14:textId="77777777" w:rsidR="00E31096" w:rsidRPr="00AB4D39" w:rsidRDefault="00E31096" w:rsidP="00E31096">
      <w:pPr>
        <w:autoSpaceDE w:val="0"/>
        <w:autoSpaceDN w:val="0"/>
        <w:adjustRightInd w:val="0"/>
        <w:jc w:val="both"/>
        <w:rPr>
          <w:rFonts w:cs="SegoeUI-Light"/>
        </w:rPr>
      </w:pPr>
      <w:r w:rsidRPr="00AB4D39">
        <w:rPr>
          <w:rFonts w:cs="SegoeUI-Light"/>
        </w:rPr>
        <w:t xml:space="preserve">Në bashkinë Pukë, situata e ndërtimit nuk ndjek të njejtin ritëm si në bashki të tjera të qarkut, për shkak të pakësimit të numrit të popullsisë. </w:t>
      </w:r>
    </w:p>
    <w:p w14:paraId="78C12177" w14:textId="77777777" w:rsidR="00E31096" w:rsidRPr="00AB4D39" w:rsidRDefault="00E31096" w:rsidP="00E31096">
      <w:pPr>
        <w:autoSpaceDE w:val="0"/>
        <w:autoSpaceDN w:val="0"/>
        <w:adjustRightInd w:val="0"/>
        <w:jc w:val="both"/>
        <w:rPr>
          <w:rFonts w:cs="SegoeUI-Light"/>
        </w:rPr>
      </w:pPr>
    </w:p>
    <w:p w14:paraId="007494F9" w14:textId="677A6575" w:rsidR="00B17E18" w:rsidRPr="00AB4D39" w:rsidRDefault="00E31096" w:rsidP="009B0FCC">
      <w:pPr>
        <w:autoSpaceDE w:val="0"/>
        <w:autoSpaceDN w:val="0"/>
        <w:adjustRightInd w:val="0"/>
        <w:jc w:val="both"/>
        <w:rPr>
          <w:rFonts w:cs="SegoeUI-Light"/>
        </w:rPr>
      </w:pPr>
      <w:r w:rsidRPr="00AB4D39">
        <w:rPr>
          <w:rFonts w:cs="SegoeUI-Light"/>
        </w:rPr>
        <w:t>Në Planin e Përgjithshëm Vendor është vlerësuar se do të ketë një rritje të popullsisë, gjë që do të sjelli zhvillim ekonomik e investime të reja. Projeksionet e popullsisë në PPV parashikojnë një popullsi prej 1</w:t>
      </w:r>
      <w:r w:rsidR="00AB4D39" w:rsidRPr="00AB4D39">
        <w:rPr>
          <w:rFonts w:cs="SegoeUI-Light"/>
        </w:rPr>
        <w:t>6</w:t>
      </w:r>
      <w:r w:rsidRPr="00AB4D39">
        <w:rPr>
          <w:rFonts w:cs="SegoeUI-Light"/>
        </w:rPr>
        <w:t>,237 banorë në vitin 2032. Parashikimet tregojnë se pritet të ketë një rritje të popullsisë për të gjitha NJA-të, një rritje prej +0.5% deri në 1%, vecanërisht për NJA Qelëz</w:t>
      </w:r>
      <w:r w:rsidRPr="00E31096">
        <w:rPr>
          <w:rFonts w:cs="SegoeUI-Light"/>
          <w:color w:val="EE0000"/>
        </w:rPr>
        <w:t xml:space="preserve">, </w:t>
      </w:r>
      <w:r w:rsidRPr="00AB4D39">
        <w:rPr>
          <w:rFonts w:cs="SegoeUI-Light"/>
        </w:rPr>
        <w:lastRenderedPageBreak/>
        <w:t>që është njësi</w:t>
      </w:r>
      <w:r w:rsidR="00AB4D39" w:rsidRPr="00AB4D39">
        <w:rPr>
          <w:rFonts w:cs="SegoeUI-Light"/>
        </w:rPr>
        <w:t xml:space="preserve"> qeka popullsi</w:t>
      </w:r>
      <w:r w:rsidRPr="00AB4D39">
        <w:rPr>
          <w:rFonts w:cs="SegoeUI-Light"/>
        </w:rPr>
        <w:t xml:space="preserve"> dhe më e largët.  Për projeksionet e popullsisë janë vlerësuar dy versione</w:t>
      </w:r>
    </w:p>
    <w:p w14:paraId="4E2D5C70" w14:textId="7782E5C4" w:rsidR="00C16283" w:rsidRDefault="00C16283" w:rsidP="00E247B9">
      <w:pPr>
        <w:jc w:val="both"/>
        <w:rPr>
          <w:lang w:val="sq-AL"/>
        </w:rPr>
      </w:pPr>
      <w:r w:rsidRPr="00AB4D39">
        <w:rPr>
          <w:lang w:val="sq-AL"/>
        </w:rPr>
        <w:t xml:space="preserve">Analiza demografike e Bashkisë </w:t>
      </w:r>
      <w:r w:rsidR="009B0FCC">
        <w:rPr>
          <w:lang w:val="sq-AL"/>
        </w:rPr>
        <w:t>Puke</w:t>
      </w:r>
      <w:r w:rsidRPr="00120DEB">
        <w:rPr>
          <w:lang w:val="sq-AL"/>
        </w:rPr>
        <w:t xml:space="preserve"> vë në dukje rritjen e popullsisë në grupmoshën mbi 65 vjeç, duke sjellë sfida për infrastrukturën shoqërore dhe shëndetësore. Nevojat për kujdes shoqëror shtohen për këtë grupmoshë, ndërkohë një grup tjetër në moshën 50-64 vjeç përballon sfidat e punësimit dhe kërkon mbështetje nga programet sociale. Zvogëlimi i popullsisë së grupmoshës 15-24 vjeç lidhet me emigrimin, ndërsa ende nuk janë zhvilluar shërbime mbështetëse të mjaftueshme në nivel lokal (në nivel bashkie). Kapacitetet financiare të kufizuara dhe mungesa e shërbimeve të integruara sociale janë sfidat kryesore që duhet adresuar. Nevoja për një sistem të integruar të shërbimeve sociale përmban një qasje holistike që siguron përmirësimin e koordinimit dhe efikasitetit në përmbushjen e nevojave komunitare. Ky integrim mund të sjellë shërbime më </w:t>
      </w:r>
      <w:r>
        <w:rPr>
          <w:lang w:val="sq-AL"/>
        </w:rPr>
        <w:t xml:space="preserve">të </w:t>
      </w:r>
      <w:r w:rsidRPr="00120DEB">
        <w:rPr>
          <w:lang w:val="sq-AL"/>
        </w:rPr>
        <w:t>personalizuar</w:t>
      </w:r>
      <w:r>
        <w:rPr>
          <w:lang w:val="sq-AL"/>
        </w:rPr>
        <w:t>a</w:t>
      </w:r>
      <w:r w:rsidRPr="00120DEB">
        <w:rPr>
          <w:lang w:val="sq-AL"/>
        </w:rPr>
        <w:t xml:space="preserve"> dhe më të qëndrueshme për të mbështetur individët dhe familjet në nevojë. Kjo situate tregon një nivel të lartë varësie të bashkisë nga financimi qendror për shërbimet sociale, pa mundësitë e saj për gjenerim të burimeve të veta dhe potencialisht duke kufizuar autonomine financiare në ofrimin e shërbimeve për komunitetin. Struktura aktuale e shërbimit shoqëror në bashki nuk është e aftë të plotësojë nevojat e grupeve në nevojë. Ka deficencë në personelin e stafit, mungojnë strukturat për të identifikuar grupet në nevojë dhe nevojat e tyre</w:t>
      </w:r>
      <w:r>
        <w:rPr>
          <w:lang w:val="sq-AL"/>
        </w:rPr>
        <w:t>, menaxhimet e rasteve të dhunës dhe fëmijëve në rrezik</w:t>
      </w:r>
      <w:r w:rsidRPr="00120DEB">
        <w:rPr>
          <w:lang w:val="sq-AL"/>
        </w:rPr>
        <w:t>. Riorganizimi i strukturës së shërbimit shoqëror në bashki është një domosdoshmëri që duhet adresuar menjëherë.</w:t>
      </w:r>
    </w:p>
    <w:p w14:paraId="3D402561" w14:textId="4DAFECA3" w:rsidR="00780C91" w:rsidRPr="00780C91" w:rsidRDefault="00780C91" w:rsidP="00E247B9">
      <w:pPr>
        <w:jc w:val="both"/>
        <w:rPr>
          <w:lang w:val="sq-AL"/>
        </w:rPr>
      </w:pPr>
      <w:r w:rsidRPr="00780C91">
        <w:rPr>
          <w:lang w:val="sq-AL"/>
        </w:rPr>
        <w:t xml:space="preserve">Barazia gjinore është një nga parimet themelore të shoqërisë demokratike dhe një kusht i domosdoshëm për zhvillimin e qëndrueshëm social dhe ekonomik. Në nivel vendor, kjo nënkupton që gratë dhe burrat të kenë mundësi të barabarta për të kontribuar dhe përfituar nga zhvillimi i komunitetit. Bashkia </w:t>
      </w:r>
      <w:r w:rsidR="009B0FCC">
        <w:rPr>
          <w:lang w:val="sq-AL"/>
        </w:rPr>
        <w:t>Puke</w:t>
      </w:r>
      <w:r w:rsidRPr="00780C91">
        <w:rPr>
          <w:lang w:val="sq-AL"/>
        </w:rPr>
        <w:t>, në përmbushje të përgjegjësive të saj si njësi e qeverisjes vendore, merr angazhimin për të ndërtuar një shoqëri më të drejtë, gjithëpërfshirëse dhe të barabartë për të gjithë qytetarët e saj, pa dallim gjinie.</w:t>
      </w:r>
    </w:p>
    <w:p w14:paraId="60E6DB45" w14:textId="77777777" w:rsidR="00780C91" w:rsidRPr="00780C91" w:rsidRDefault="00780C91" w:rsidP="00E247B9">
      <w:pPr>
        <w:jc w:val="both"/>
        <w:rPr>
          <w:lang w:val="sq-AL"/>
        </w:rPr>
      </w:pPr>
    </w:p>
    <w:p w14:paraId="1376C886" w14:textId="77777777" w:rsidR="005526DF" w:rsidRPr="005526DF" w:rsidRDefault="00780C91" w:rsidP="00E247B9">
      <w:pPr>
        <w:jc w:val="both"/>
        <w:rPr>
          <w:lang w:val="sq-AL"/>
        </w:rPr>
      </w:pPr>
      <w:r w:rsidRPr="00780C91">
        <w:rPr>
          <w:lang w:val="sq-AL"/>
        </w:rPr>
        <w:t>Hartimi i Planit Vendor të Veprimit për Barazinë Gjinore 2025–20</w:t>
      </w:r>
      <w:r>
        <w:rPr>
          <w:lang w:val="sq-AL"/>
        </w:rPr>
        <w:t>30</w:t>
      </w:r>
      <w:r w:rsidRPr="00780C91">
        <w:rPr>
          <w:lang w:val="sq-AL"/>
        </w:rPr>
        <w:t xml:space="preserve"> përbën një hap konkret në këtë drejtim. Ky plan është ndërtuar në përputhje me Ligjin nr. 9970, datë 24.7.2008 “Për barazinë gjinore në shoqëri”, me prioritetet e përcaktuara në Strategjinë Kombëtare për Barazinë Gjinore 2021–2030, si dhe në përputhje me objektivat e Agjendës 2030 të Kombeve të Bashkuara për Zhvillim të Qëndrueshëm.</w:t>
      </w:r>
      <w:r w:rsidR="005526DF" w:rsidRPr="005526DF">
        <w:t xml:space="preserve"> </w:t>
      </w:r>
      <w:r w:rsidR="005526DF" w:rsidRPr="005526DF">
        <w:rPr>
          <w:lang w:val="sq-AL"/>
        </w:rPr>
        <w:t xml:space="preserve">Plani i Veprimit për Barazinë Gjinore (PVBGJ) </w:t>
      </w:r>
      <w:r w:rsidR="005526DF">
        <w:rPr>
          <w:lang w:val="sq-AL"/>
        </w:rPr>
        <w:t>2025-2030</w:t>
      </w:r>
      <w:r w:rsidR="005526DF" w:rsidRPr="005526DF">
        <w:rPr>
          <w:lang w:val="sq-AL"/>
        </w:rPr>
        <w:t xml:space="preserve">, mbulon një tërësi fushash dhe në të parashikohen veprime që synojnë: respektimin e të drejtës themelore të barazisë ndërmjet grave dhe burrave, të rejave dhe të rinjve, vajzave dhe djemve; trajtimin e çështjeve të pabarazive dhe diskriminimit; veprime për eliminimin e steriotipeve gjinore; pjesëmarrjen e balancuar të grave dhe burrave si dhe të të rejave e të rinjve në vendim-marrjen politike e publike; aksesin në shërbime të ndryshme të konceptuara sipas nevojave të veçanta të grave dhe burrave, të të rejave e të rinjve, apo vajzave dhe djemve, si dhe ofrimin e këtyre shërbimeve me cilësi e në respektim të parimeve të barazisë; integrimin e këndvështrimit gjinor në të gjitha planet dhe fushat për zhvillim të qëndrueshëm; planifikimin e mbështetur në burimet e duhura, etj.  </w:t>
      </w:r>
    </w:p>
    <w:p w14:paraId="74DA0D06" w14:textId="74FFF750" w:rsidR="005526DF" w:rsidRPr="00F12D10" w:rsidRDefault="00E247B9" w:rsidP="00E247B9">
      <w:pPr>
        <w:jc w:val="both"/>
        <w:rPr>
          <w:lang w:val="sq-AL"/>
        </w:rPr>
      </w:pPr>
      <w:r w:rsidRPr="00E247B9">
        <w:rPr>
          <w:lang w:val="sq-AL"/>
        </w:rPr>
        <w:t xml:space="preserve">Metodologjia e hartimit të këtij plani është ndërtuar duke marrë në konsideratë Bashkinë </w:t>
      </w:r>
      <w:r w:rsidR="009B0FCC">
        <w:rPr>
          <w:lang w:val="sq-AL"/>
        </w:rPr>
        <w:t>Puke</w:t>
      </w:r>
      <w:r w:rsidRPr="00E247B9">
        <w:rPr>
          <w:lang w:val="sq-AL"/>
        </w:rPr>
        <w:t xml:space="preserve"> si një njësi e veçantë administrative me karakteristikat e saj gjeografike, demografike dhe sociale. Ajo është përqendruar në analizimin e nevojave konkrete për shërbime sociale të popullsisë, me fokus të veçantë tek grupet më të ndjeshme gjinore. Procesi ka përfshirë mbledhjen dhe analizimin e të dhënave sasiore, aty ku ishin të disponueshme, për secilin grup target dhe për shërbimet ekzistuese që ofrohen në territorin e bashkisë. Gjithashtu, janë identifikuar boshllëqet dhe potencialet për zhvillimin e mëtejshëm të shërbimeve në funksion të barazisë gjinore dhe përfshirjes sociale. Kjo qasje ka siguruar që plani të bazohet në evidenca dhe të jetë realist, i zbatueshëm dhe i përshtatur me kontekstin lokal</w:t>
      </w:r>
    </w:p>
    <w:p w14:paraId="6C3297BD" w14:textId="77777777" w:rsidR="005526DF" w:rsidRPr="00AB4D39" w:rsidRDefault="00E247B9" w:rsidP="00E247B9">
      <w:pPr>
        <w:pStyle w:val="Heading1"/>
        <w:jc w:val="both"/>
        <w:rPr>
          <w:rFonts w:ascii="Times New Roman" w:hAnsi="Times New Roman" w:cs="Times New Roman"/>
          <w:color w:val="auto"/>
          <w:sz w:val="24"/>
          <w:szCs w:val="24"/>
        </w:rPr>
      </w:pPr>
      <w:bookmarkStart w:id="2" w:name="_Toc204608629"/>
      <w:r w:rsidRPr="00AB4D39">
        <w:rPr>
          <w:rFonts w:ascii="Times New Roman" w:hAnsi="Times New Roman" w:cs="Times New Roman"/>
          <w:color w:val="auto"/>
          <w:sz w:val="24"/>
          <w:szCs w:val="24"/>
        </w:rPr>
        <w:lastRenderedPageBreak/>
        <w:t xml:space="preserve">I MISIONI, VIZIONI, </w:t>
      </w:r>
      <w:r w:rsidR="005526DF" w:rsidRPr="00AB4D39">
        <w:rPr>
          <w:rFonts w:ascii="Times New Roman" w:hAnsi="Times New Roman" w:cs="Times New Roman"/>
          <w:color w:val="auto"/>
          <w:sz w:val="24"/>
          <w:szCs w:val="24"/>
        </w:rPr>
        <w:t>KUADRI LIGJOR DHE INSITUCIONAL</w:t>
      </w:r>
      <w:bookmarkEnd w:id="2"/>
    </w:p>
    <w:p w14:paraId="6BF4118A" w14:textId="77777777" w:rsidR="00E247B9" w:rsidRDefault="00E247B9" w:rsidP="00E247B9">
      <w:pPr>
        <w:jc w:val="both"/>
      </w:pPr>
    </w:p>
    <w:p w14:paraId="0D51B9EC" w14:textId="77777777" w:rsidR="00E247B9" w:rsidRPr="008D30DB" w:rsidRDefault="00E247B9" w:rsidP="00E247B9">
      <w:pPr>
        <w:pStyle w:val="Heading2"/>
        <w:jc w:val="both"/>
        <w:rPr>
          <w:rFonts w:ascii="Times New Roman" w:hAnsi="Times New Roman" w:cs="Times New Roman"/>
          <w:sz w:val="24"/>
          <w:szCs w:val="24"/>
        </w:rPr>
      </w:pPr>
      <w:bookmarkStart w:id="3" w:name="_Toc204608631"/>
      <w:r w:rsidRPr="008D30DB">
        <w:rPr>
          <w:rFonts w:ascii="Times New Roman" w:hAnsi="Times New Roman" w:cs="Times New Roman"/>
          <w:sz w:val="24"/>
          <w:szCs w:val="24"/>
        </w:rPr>
        <w:t>Misioni</w:t>
      </w:r>
      <w:bookmarkEnd w:id="3"/>
    </w:p>
    <w:p w14:paraId="13563DAC" w14:textId="77777777" w:rsidR="00E247B9" w:rsidRDefault="00E247B9" w:rsidP="00E247B9">
      <w:pPr>
        <w:jc w:val="both"/>
      </w:pPr>
      <w:r w:rsidRPr="00E247B9">
        <w:t>Të promovojë dhe zbatojë barazinë gjinore në të gjitha fushat e jetës vendore përmes politikave të ndjeshme gjinore, forcimit të pjesëmarrjes së grave në vendimmarrje, përmirësimit të aksesit në shërbime sociale dhe ekonomike, si dhe fuqizimit të grupeve më të cenueshme, nëpërmjet një qasjeje të bazuar në të drejtat e njeriut, barazi dhe zhvillim të qëndrueshëm.</w:t>
      </w:r>
    </w:p>
    <w:p w14:paraId="6E88A608" w14:textId="77777777" w:rsidR="008C3528" w:rsidRPr="008D30DB" w:rsidRDefault="008C3528" w:rsidP="008C3528">
      <w:pPr>
        <w:pStyle w:val="Heading2"/>
        <w:jc w:val="both"/>
        <w:rPr>
          <w:rFonts w:ascii="Times New Roman" w:hAnsi="Times New Roman" w:cs="Times New Roman"/>
          <w:sz w:val="24"/>
          <w:szCs w:val="24"/>
        </w:rPr>
      </w:pPr>
      <w:bookmarkStart w:id="4" w:name="_Toc204608630"/>
      <w:r w:rsidRPr="008D30DB">
        <w:rPr>
          <w:rFonts w:ascii="Times New Roman" w:hAnsi="Times New Roman" w:cs="Times New Roman"/>
          <w:sz w:val="24"/>
          <w:szCs w:val="24"/>
        </w:rPr>
        <w:t>Vizioni</w:t>
      </w:r>
      <w:bookmarkEnd w:id="4"/>
    </w:p>
    <w:p w14:paraId="0B5663BD" w14:textId="1363407F" w:rsidR="00E247B9" w:rsidRDefault="008C3528" w:rsidP="008C3528">
      <w:pPr>
        <w:jc w:val="both"/>
      </w:pPr>
      <w:r w:rsidRPr="00E247B9">
        <w:t xml:space="preserve">Bashkia </w:t>
      </w:r>
      <w:r w:rsidR="008041FF">
        <w:t>Puke</w:t>
      </w:r>
      <w:r w:rsidRPr="00E247B9">
        <w:t xml:space="preserve"> synon të jetë një komunitet gjithëpërfshirës, ku gratë dhe burrat, vajzat dhe djemtë gëzojnë të drejta të barabarta, mundësi të barabarta dhe akses të barabartë në zhvillim, pjesëmarrje dhe shërbime publike, pa diskriminim dhe pabarazi gjinore</w:t>
      </w:r>
    </w:p>
    <w:p w14:paraId="0C3D139E" w14:textId="77777777" w:rsidR="00E247B9" w:rsidRDefault="00E247B9" w:rsidP="00E247B9">
      <w:pPr>
        <w:jc w:val="both"/>
      </w:pPr>
    </w:p>
    <w:p w14:paraId="1E265297" w14:textId="77777777" w:rsidR="005526DF" w:rsidRPr="008C3528" w:rsidRDefault="00E247B9" w:rsidP="008C3528">
      <w:pPr>
        <w:pStyle w:val="Heading2"/>
        <w:jc w:val="both"/>
        <w:rPr>
          <w:rFonts w:ascii="Times New Roman" w:hAnsi="Times New Roman" w:cs="Times New Roman"/>
          <w:sz w:val="24"/>
          <w:szCs w:val="24"/>
        </w:rPr>
      </w:pPr>
      <w:bookmarkStart w:id="5" w:name="_Toc204608632"/>
      <w:r w:rsidRPr="008D30DB">
        <w:rPr>
          <w:rFonts w:ascii="Times New Roman" w:hAnsi="Times New Roman" w:cs="Times New Roman"/>
          <w:sz w:val="24"/>
          <w:szCs w:val="24"/>
        </w:rPr>
        <w:t>Kuadri ligjor dhe Institucional</w:t>
      </w:r>
      <w:bookmarkEnd w:id="5"/>
    </w:p>
    <w:p w14:paraId="3F3B3B8E" w14:textId="77777777" w:rsidR="005526DF" w:rsidRDefault="005526DF" w:rsidP="00E247B9">
      <w:pPr>
        <w:jc w:val="both"/>
      </w:pPr>
      <w:r>
        <w:t>Kur flasim për kuadrin ligjor dhe të politikave në fushën e barazisë gjinore, duhet të kemi parasysh që e drejta për barazi ndërmjet gjinive buron që në Kushtetutën e Republikës së Shqipërisë (neni 18), që është edhe dokumenti ligjor më i lartë në hierarkinë ligjore të vendit. Nën nenin 18 të kushtetutës qartësohet shprehimisht se: “</w:t>
      </w:r>
      <w:r w:rsidRPr="00E247B9">
        <w:rPr>
          <w:i/>
          <w:iCs/>
        </w:rPr>
        <w:t>1. Të gjithë janë të barabartë përpara ligjit; 2. Askush nuk mund të diskriminohet padrejtësisht për shkaqe të tilla si gjinia, raca, feja, etnia, gjuha, bindjet politike, fetare a filozofike, gjendja ekonomike, arsimore, sociale ose përkatësia prindërore; 3. Askush nuk mund të diskriminohet për shkaqet e përmendura në paragrafin 2, nëse nuk ekziston një përligjje e arsyeshme dhe objektive</w:t>
      </w:r>
      <w:r>
        <w:t xml:space="preserve">.”. Kjo barazi de-jure është gjithashtu e shprehur edhe në një tërësi instrumentash ndërkombëtarë, të cilët kur ratifikohen nga Parlamenti shqiptar, zënë vend në hierarkinë ligjore të vendit menjëherë pas Kushtetutës, çfarë nënkupton që nëse për një çështje të caktuar nuk ka një parashikim të qartë në legjislacionin vendas, atëherë për zgjidhjen e saj u drejtohemi parashikimeve në instrumentat ndërkombëtarë të ratifikuar.  </w:t>
      </w:r>
    </w:p>
    <w:p w14:paraId="5E68821D" w14:textId="77777777" w:rsidR="005526DF" w:rsidRDefault="005526DF" w:rsidP="00E247B9">
      <w:pPr>
        <w:jc w:val="both"/>
      </w:pPr>
    </w:p>
    <w:p w14:paraId="6A546FF8" w14:textId="77777777" w:rsidR="00842DB6" w:rsidRDefault="00842DB6" w:rsidP="00E247B9">
      <w:pPr>
        <w:jc w:val="both"/>
      </w:pPr>
    </w:p>
    <w:p w14:paraId="44586A57" w14:textId="77777777" w:rsidR="00842DB6" w:rsidRPr="008F01DD" w:rsidRDefault="00842DB6" w:rsidP="00842DB6">
      <w:pPr>
        <w:jc w:val="both"/>
        <w:rPr>
          <w:rFonts w:cstheme="minorHAnsi"/>
        </w:rPr>
      </w:pPr>
    </w:p>
    <w:p w14:paraId="0EF45F01" w14:textId="77777777" w:rsidR="00842DB6" w:rsidRPr="008F01DD" w:rsidRDefault="00842DB6" w:rsidP="00842DB6">
      <w:pPr>
        <w:pStyle w:val="ListParagraph"/>
        <w:numPr>
          <w:ilvl w:val="0"/>
          <w:numId w:val="2"/>
        </w:numPr>
        <w:jc w:val="both"/>
        <w:rPr>
          <w:rFonts w:cstheme="minorHAnsi"/>
          <w:b/>
          <w:bCs/>
          <w:i/>
          <w:iCs/>
        </w:rPr>
      </w:pPr>
      <w:r w:rsidRPr="008F01DD">
        <w:rPr>
          <w:rFonts w:cstheme="minorHAnsi"/>
          <w:b/>
          <w:bCs/>
          <w:i/>
          <w:iCs/>
        </w:rPr>
        <w:t>Instrumente ndërkombëtarë</w:t>
      </w:r>
    </w:p>
    <w:p w14:paraId="4FED6335" w14:textId="77777777" w:rsidR="00842DB6" w:rsidRPr="008F01DD" w:rsidRDefault="00842DB6" w:rsidP="00842DB6">
      <w:pPr>
        <w:pStyle w:val="ListParagraph"/>
        <w:numPr>
          <w:ilvl w:val="0"/>
          <w:numId w:val="3"/>
        </w:numPr>
        <w:jc w:val="both"/>
        <w:rPr>
          <w:rFonts w:cstheme="minorHAnsi"/>
        </w:rPr>
      </w:pPr>
      <w:r w:rsidRPr="008F01DD">
        <w:rPr>
          <w:rFonts w:cstheme="minorHAnsi"/>
        </w:rPr>
        <w:t>Karta Evropiane për Barazi të Grave dhe burrave në jetën vendore (EU Charter for Equality).</w:t>
      </w:r>
    </w:p>
    <w:p w14:paraId="6103CAC8" w14:textId="77777777" w:rsidR="00842DB6" w:rsidRPr="008F01DD" w:rsidRDefault="00842DB6" w:rsidP="00842DB6">
      <w:pPr>
        <w:pStyle w:val="ListParagraph"/>
        <w:numPr>
          <w:ilvl w:val="0"/>
          <w:numId w:val="3"/>
        </w:numPr>
        <w:jc w:val="both"/>
        <w:rPr>
          <w:rFonts w:cstheme="minorHAnsi"/>
        </w:rPr>
      </w:pPr>
      <w:r w:rsidRPr="008F01DD">
        <w:rPr>
          <w:rFonts w:cstheme="minorHAnsi"/>
        </w:rPr>
        <w:t>Konventa për Eliminimin e të gjithë Formave të Diskriminimit ndaj Grave (CEDA</w:t>
      </w:r>
      <w:r w:rsidR="008D30DB">
        <w:rPr>
          <w:rFonts w:cstheme="minorHAnsi"/>
        </w:rPr>
        <w:t>Ë</w:t>
      </w:r>
      <w:r w:rsidRPr="008F01DD">
        <w:rPr>
          <w:rFonts w:cstheme="minorHAnsi"/>
        </w:rPr>
        <w:t>).</w:t>
      </w:r>
    </w:p>
    <w:p w14:paraId="69875563" w14:textId="77777777" w:rsidR="00842DB6" w:rsidRPr="008F01DD" w:rsidRDefault="00842DB6" w:rsidP="00842DB6">
      <w:pPr>
        <w:pStyle w:val="ListParagraph"/>
        <w:numPr>
          <w:ilvl w:val="0"/>
          <w:numId w:val="3"/>
        </w:numPr>
        <w:jc w:val="both"/>
        <w:rPr>
          <w:rFonts w:cstheme="minorHAnsi"/>
        </w:rPr>
      </w:pPr>
      <w:r w:rsidRPr="008F01DD">
        <w:rPr>
          <w:rFonts w:cstheme="minorHAnsi"/>
        </w:rPr>
        <w:t>Deklarata dhe Platforma për Veprim e Pekinit (BDPfA).</w:t>
      </w:r>
    </w:p>
    <w:p w14:paraId="07E3A50A" w14:textId="77777777" w:rsidR="00842DB6" w:rsidRPr="008F01DD" w:rsidRDefault="00842DB6" w:rsidP="00842DB6">
      <w:pPr>
        <w:pStyle w:val="ListParagraph"/>
        <w:numPr>
          <w:ilvl w:val="0"/>
          <w:numId w:val="3"/>
        </w:numPr>
        <w:jc w:val="both"/>
        <w:rPr>
          <w:rFonts w:cstheme="minorHAnsi"/>
        </w:rPr>
      </w:pPr>
      <w:r w:rsidRPr="008F01DD">
        <w:rPr>
          <w:rFonts w:cstheme="minorHAnsi"/>
        </w:rPr>
        <w:t>Konventa e KE për Parandalimin dhe Luftimin e Dhunës ndaj Grave dhe Dhunës në Familje (Konventa e Stambollit).</w:t>
      </w:r>
    </w:p>
    <w:p w14:paraId="433F1D97" w14:textId="77777777" w:rsidR="00842DB6" w:rsidRPr="008F01DD" w:rsidRDefault="00842DB6" w:rsidP="00842DB6">
      <w:pPr>
        <w:pStyle w:val="ListParagraph"/>
        <w:numPr>
          <w:ilvl w:val="0"/>
          <w:numId w:val="3"/>
        </w:numPr>
        <w:jc w:val="both"/>
        <w:rPr>
          <w:rFonts w:cstheme="minorHAnsi"/>
        </w:rPr>
      </w:pPr>
      <w:r w:rsidRPr="008F01DD">
        <w:rPr>
          <w:rFonts w:cstheme="minorHAnsi"/>
        </w:rPr>
        <w:t>Objektivat e Zhvillimit të Qëndrueshëm (OZHQ).</w:t>
      </w:r>
    </w:p>
    <w:p w14:paraId="675F0318" w14:textId="77777777" w:rsidR="00842DB6" w:rsidRPr="008F01DD" w:rsidRDefault="00842DB6" w:rsidP="00842DB6">
      <w:pPr>
        <w:pStyle w:val="ListParagraph"/>
        <w:numPr>
          <w:ilvl w:val="0"/>
          <w:numId w:val="3"/>
        </w:numPr>
        <w:jc w:val="both"/>
        <w:rPr>
          <w:rFonts w:cstheme="minorHAnsi"/>
        </w:rPr>
      </w:pPr>
      <w:r w:rsidRPr="008F01DD">
        <w:rPr>
          <w:rFonts w:cstheme="minorHAnsi"/>
        </w:rPr>
        <w:t xml:space="preserve">Strategjia e Barazisë Gjinore 2020-2025 e Bashkimit Evropian dhe Plani i Veprimit për Barazinë Gjinore (GAP III) 2021-2025, etj. </w:t>
      </w:r>
    </w:p>
    <w:p w14:paraId="4306965F" w14:textId="77777777" w:rsidR="00842DB6" w:rsidRDefault="00842DB6" w:rsidP="00E247B9">
      <w:pPr>
        <w:jc w:val="both"/>
      </w:pPr>
    </w:p>
    <w:p w14:paraId="6EC38E81" w14:textId="77777777" w:rsidR="00842DB6" w:rsidRPr="008F01DD" w:rsidRDefault="00842DB6" w:rsidP="00842DB6">
      <w:pPr>
        <w:pStyle w:val="ListParagraph"/>
        <w:numPr>
          <w:ilvl w:val="0"/>
          <w:numId w:val="2"/>
        </w:numPr>
        <w:jc w:val="both"/>
        <w:rPr>
          <w:rFonts w:cstheme="minorHAnsi"/>
          <w:b/>
          <w:bCs/>
          <w:i/>
          <w:iCs/>
        </w:rPr>
      </w:pPr>
      <w:r w:rsidRPr="008F01DD">
        <w:rPr>
          <w:rFonts w:cstheme="minorHAnsi"/>
          <w:b/>
          <w:bCs/>
          <w:i/>
          <w:iCs/>
        </w:rPr>
        <w:t>Kuadri ligjor kombëtar</w:t>
      </w:r>
    </w:p>
    <w:p w14:paraId="5F3EDC74" w14:textId="77777777" w:rsidR="00842DB6" w:rsidRPr="008F01DD" w:rsidRDefault="00842DB6" w:rsidP="00842DB6">
      <w:pPr>
        <w:pStyle w:val="ListParagraph"/>
        <w:numPr>
          <w:ilvl w:val="0"/>
          <w:numId w:val="4"/>
        </w:numPr>
        <w:jc w:val="both"/>
        <w:rPr>
          <w:rFonts w:cstheme="minorHAnsi"/>
        </w:rPr>
      </w:pPr>
      <w:r w:rsidRPr="008F01DD">
        <w:rPr>
          <w:rFonts w:cstheme="minorHAnsi"/>
        </w:rPr>
        <w:t>Ligji Nr. 9970 datë 24.07.2008 “Për barazinë gjinore në shoqëri”.</w:t>
      </w:r>
    </w:p>
    <w:p w14:paraId="099C3612" w14:textId="77777777" w:rsidR="00842DB6" w:rsidRPr="008F01DD" w:rsidRDefault="00842DB6" w:rsidP="00842DB6">
      <w:pPr>
        <w:pStyle w:val="ListParagraph"/>
        <w:numPr>
          <w:ilvl w:val="0"/>
          <w:numId w:val="4"/>
        </w:numPr>
        <w:jc w:val="both"/>
        <w:rPr>
          <w:rFonts w:cstheme="minorHAnsi"/>
        </w:rPr>
      </w:pPr>
      <w:r w:rsidRPr="008F01DD">
        <w:rPr>
          <w:rFonts w:cstheme="minorHAnsi"/>
        </w:rPr>
        <w:t>Ligji Nr. 139/2015 “Për vetëqeverisjen vendore”.</w:t>
      </w:r>
    </w:p>
    <w:p w14:paraId="48D3018B" w14:textId="77777777" w:rsidR="00842DB6" w:rsidRPr="008F01DD" w:rsidRDefault="00842DB6" w:rsidP="00842DB6">
      <w:pPr>
        <w:pStyle w:val="ListParagraph"/>
        <w:numPr>
          <w:ilvl w:val="0"/>
          <w:numId w:val="4"/>
        </w:numPr>
        <w:jc w:val="both"/>
        <w:rPr>
          <w:rFonts w:cstheme="minorHAnsi"/>
        </w:rPr>
      </w:pPr>
      <w:r w:rsidRPr="008F01DD">
        <w:rPr>
          <w:rFonts w:cstheme="minorHAnsi"/>
        </w:rPr>
        <w:t>Ligji Nr. 68/2017 “Për financat e vetëqeverisjes vendore”.</w:t>
      </w:r>
    </w:p>
    <w:p w14:paraId="61EF0364" w14:textId="77777777" w:rsidR="00842DB6" w:rsidRPr="008F01DD" w:rsidRDefault="00842DB6" w:rsidP="00842DB6">
      <w:pPr>
        <w:pStyle w:val="ListParagraph"/>
        <w:numPr>
          <w:ilvl w:val="0"/>
          <w:numId w:val="4"/>
        </w:numPr>
        <w:jc w:val="both"/>
        <w:rPr>
          <w:rFonts w:cstheme="minorHAnsi"/>
        </w:rPr>
      </w:pPr>
      <w:r w:rsidRPr="008F01DD">
        <w:rPr>
          <w:rFonts w:cstheme="minorHAnsi"/>
        </w:rPr>
        <w:lastRenderedPageBreak/>
        <w:t>Ligji Nr. 125/2020 “Për disa shtesa dhe ndryshime në ligjin Nr. 9669, datë 18.12.2006 “Për masa ndaj dhunës në marrëdhëniet familjare”, i ndryshuar</w:t>
      </w:r>
      <w:r w:rsidRPr="008F01DD">
        <w:rPr>
          <w:rStyle w:val="FootnoteReference"/>
          <w:rFonts w:eastAsiaTheme="majorEastAsia" w:cstheme="minorHAnsi"/>
        </w:rPr>
        <w:footnoteReference w:id="1"/>
      </w:r>
      <w:r w:rsidRPr="008F01DD">
        <w:rPr>
          <w:rFonts w:cstheme="minorHAnsi"/>
        </w:rPr>
        <w:t>.</w:t>
      </w:r>
    </w:p>
    <w:p w14:paraId="296201A0" w14:textId="77777777" w:rsidR="00842DB6" w:rsidRPr="008F01DD" w:rsidRDefault="00842DB6" w:rsidP="00842DB6">
      <w:pPr>
        <w:pStyle w:val="ListParagraph"/>
        <w:numPr>
          <w:ilvl w:val="0"/>
          <w:numId w:val="4"/>
        </w:numPr>
        <w:jc w:val="both"/>
        <w:rPr>
          <w:rFonts w:cstheme="minorHAnsi"/>
        </w:rPr>
      </w:pPr>
      <w:r w:rsidRPr="008F01DD">
        <w:rPr>
          <w:rFonts w:cstheme="minorHAnsi"/>
        </w:rPr>
        <w:t>Ligji Nr. 124/2020 “Për disa shtesa dhe ndryshime në Ligjin Nr.221/04.02.2010 “Për mbrojtjen nga diskriminimi”, i ndryshuar.</w:t>
      </w:r>
    </w:p>
    <w:p w14:paraId="2FE518FD" w14:textId="77777777" w:rsidR="00842DB6" w:rsidRPr="008F01DD" w:rsidRDefault="00842DB6" w:rsidP="00842DB6">
      <w:pPr>
        <w:pStyle w:val="ListParagraph"/>
        <w:numPr>
          <w:ilvl w:val="0"/>
          <w:numId w:val="4"/>
        </w:numPr>
        <w:jc w:val="both"/>
        <w:rPr>
          <w:rFonts w:cstheme="minorHAnsi"/>
        </w:rPr>
      </w:pPr>
      <w:r w:rsidRPr="008F01DD">
        <w:rPr>
          <w:rFonts w:cstheme="minorHAnsi"/>
        </w:rPr>
        <w:t>Ligji Nr. 35/2020 “Për një ndryshim në ligjin nr. 7895, datë 27.01.1995, “Kodi Penal i Republikës së Shqipërisë”, i ndryshuar.</w:t>
      </w:r>
    </w:p>
    <w:p w14:paraId="02FC6ECA" w14:textId="77777777" w:rsidR="00842DB6" w:rsidRPr="008F01DD" w:rsidRDefault="00842DB6" w:rsidP="00842DB6">
      <w:pPr>
        <w:pStyle w:val="ListParagraph"/>
        <w:numPr>
          <w:ilvl w:val="0"/>
          <w:numId w:val="4"/>
        </w:numPr>
        <w:jc w:val="both"/>
        <w:rPr>
          <w:rFonts w:cstheme="minorHAnsi"/>
        </w:rPr>
      </w:pPr>
      <w:r w:rsidRPr="008F01DD">
        <w:rPr>
          <w:rFonts w:cstheme="minorHAnsi"/>
        </w:rPr>
        <w:t xml:space="preserve">Ligji Nr. 136/2015 “Për disa shtesa dhe ndryshime në ligjin nr. 7961, datë 12.07.1995 “Kodi i Punës i Republikës së Shqipërisë”, i ndryshuar. </w:t>
      </w:r>
    </w:p>
    <w:p w14:paraId="2932FCCC" w14:textId="77777777" w:rsidR="00842DB6" w:rsidRPr="008F01DD" w:rsidRDefault="00842DB6" w:rsidP="00842DB6">
      <w:pPr>
        <w:pStyle w:val="ListParagraph"/>
        <w:numPr>
          <w:ilvl w:val="0"/>
          <w:numId w:val="4"/>
        </w:numPr>
        <w:jc w:val="both"/>
        <w:rPr>
          <w:rFonts w:cstheme="minorHAnsi"/>
        </w:rPr>
      </w:pPr>
      <w:r w:rsidRPr="008F01DD">
        <w:rPr>
          <w:rFonts w:cstheme="minorHAnsi"/>
        </w:rPr>
        <w:t>Ligji Nr. 93/2014 “Për përfshirjen dhe aksesueshmërinë e personave me aftësi të kufizuara”.</w:t>
      </w:r>
    </w:p>
    <w:p w14:paraId="2418E78B" w14:textId="77777777" w:rsidR="00842DB6" w:rsidRPr="008F01DD" w:rsidRDefault="00842DB6" w:rsidP="00842DB6">
      <w:pPr>
        <w:pStyle w:val="ListParagraph"/>
        <w:numPr>
          <w:ilvl w:val="0"/>
          <w:numId w:val="4"/>
        </w:numPr>
        <w:jc w:val="both"/>
        <w:rPr>
          <w:rFonts w:cstheme="minorHAnsi"/>
        </w:rPr>
      </w:pPr>
      <w:r w:rsidRPr="008F01DD">
        <w:rPr>
          <w:rFonts w:cstheme="minorHAnsi"/>
        </w:rPr>
        <w:t>Ligji Nr.104/2014 “Për disa ndryshime dhe shtesa në Ligjin nr. 7703, datë 11.05.1993 “Për Sigurimet Shoqërore në Republikën e Shqipërisë”, i ndryshuar.</w:t>
      </w:r>
    </w:p>
    <w:p w14:paraId="6A778A46" w14:textId="77777777" w:rsidR="00842DB6" w:rsidRPr="008F01DD" w:rsidRDefault="00842DB6" w:rsidP="00842DB6">
      <w:pPr>
        <w:pStyle w:val="ListParagraph"/>
        <w:numPr>
          <w:ilvl w:val="0"/>
          <w:numId w:val="4"/>
        </w:numPr>
        <w:jc w:val="both"/>
        <w:rPr>
          <w:rFonts w:cstheme="minorHAnsi"/>
        </w:rPr>
      </w:pPr>
      <w:r w:rsidRPr="008F01DD">
        <w:rPr>
          <w:rFonts w:cstheme="minorHAnsi"/>
        </w:rPr>
        <w:t>Ligji Nr. 101/2020 “Për disa shtesa dhe ndryshime në ligjin Nr. 10019, datë 29.12.2008 “Kodi Zgjedhor i Republikës së Shqipërisë”, i ndryshuar.</w:t>
      </w:r>
    </w:p>
    <w:p w14:paraId="070083EA" w14:textId="77777777" w:rsidR="00842DB6" w:rsidRPr="008F01DD" w:rsidRDefault="00842DB6" w:rsidP="00842DB6">
      <w:pPr>
        <w:pStyle w:val="ListParagraph"/>
        <w:numPr>
          <w:ilvl w:val="0"/>
          <w:numId w:val="4"/>
        </w:numPr>
        <w:jc w:val="both"/>
        <w:rPr>
          <w:rFonts w:cstheme="minorHAnsi"/>
        </w:rPr>
      </w:pPr>
      <w:r w:rsidRPr="008F01DD">
        <w:rPr>
          <w:rFonts w:cstheme="minorHAnsi"/>
        </w:rPr>
        <w:t>Ligji Nr. 69/2012 “Për sistemin arsimor para universitar në Republikën e Shqipërisë”.</w:t>
      </w:r>
    </w:p>
    <w:p w14:paraId="39D14B60" w14:textId="77777777" w:rsidR="00842DB6" w:rsidRPr="008F01DD" w:rsidRDefault="00842DB6" w:rsidP="00842DB6">
      <w:pPr>
        <w:pStyle w:val="ListParagraph"/>
        <w:numPr>
          <w:ilvl w:val="0"/>
          <w:numId w:val="4"/>
        </w:numPr>
        <w:jc w:val="both"/>
        <w:rPr>
          <w:rFonts w:cstheme="minorHAnsi"/>
        </w:rPr>
      </w:pPr>
      <w:r w:rsidRPr="008F01DD">
        <w:rPr>
          <w:rFonts w:cstheme="minorHAnsi"/>
        </w:rPr>
        <w:t>Ligji Nr. 121/2016 “Për shërbimet e kujdesit shoqëror në Republikën e Shqipërisë”.</w:t>
      </w:r>
    </w:p>
    <w:p w14:paraId="2D457186" w14:textId="77777777" w:rsidR="00842DB6" w:rsidRPr="008F01DD" w:rsidRDefault="00842DB6" w:rsidP="00842DB6">
      <w:pPr>
        <w:pStyle w:val="ListParagraph"/>
        <w:numPr>
          <w:ilvl w:val="0"/>
          <w:numId w:val="4"/>
        </w:numPr>
        <w:jc w:val="both"/>
        <w:rPr>
          <w:rFonts w:cstheme="minorHAnsi"/>
        </w:rPr>
      </w:pPr>
      <w:r w:rsidRPr="008F01DD">
        <w:rPr>
          <w:rFonts w:cstheme="minorHAnsi"/>
        </w:rPr>
        <w:t>Ligji Nr. 65/2016 “Për ndërmarrjet sociale në Republikën e Shqipërisë”.</w:t>
      </w:r>
    </w:p>
    <w:p w14:paraId="5C20FEBD" w14:textId="77777777" w:rsidR="00842DB6" w:rsidRPr="008F01DD" w:rsidRDefault="00842DB6" w:rsidP="00842DB6">
      <w:pPr>
        <w:pStyle w:val="ListParagraph"/>
        <w:numPr>
          <w:ilvl w:val="0"/>
          <w:numId w:val="4"/>
        </w:numPr>
        <w:jc w:val="both"/>
        <w:rPr>
          <w:rFonts w:cstheme="minorHAnsi"/>
        </w:rPr>
      </w:pPr>
      <w:r w:rsidRPr="008F01DD">
        <w:rPr>
          <w:rFonts w:cstheme="minorHAnsi"/>
        </w:rPr>
        <w:t>Ligji Nr. 18/2017 “Për të drejtat dhe mbrojtjen e fëmijës”.</w:t>
      </w:r>
    </w:p>
    <w:p w14:paraId="78D9896D" w14:textId="77777777" w:rsidR="00842DB6" w:rsidRPr="008F01DD" w:rsidRDefault="00842DB6" w:rsidP="00842DB6">
      <w:pPr>
        <w:pStyle w:val="ListParagraph"/>
        <w:numPr>
          <w:ilvl w:val="0"/>
          <w:numId w:val="4"/>
        </w:numPr>
        <w:jc w:val="both"/>
        <w:rPr>
          <w:rFonts w:cstheme="minorHAnsi"/>
        </w:rPr>
      </w:pPr>
      <w:r w:rsidRPr="008F01DD">
        <w:rPr>
          <w:rFonts w:cstheme="minorHAnsi"/>
        </w:rPr>
        <w:t>Ligji Nr. 37/2017 “Kodi i Drejtësisë Penale për të Mitur".</w:t>
      </w:r>
    </w:p>
    <w:p w14:paraId="4C7A0299" w14:textId="77777777" w:rsidR="00842DB6" w:rsidRPr="008F01DD" w:rsidRDefault="00842DB6" w:rsidP="00842DB6">
      <w:pPr>
        <w:pStyle w:val="ListParagraph"/>
        <w:numPr>
          <w:ilvl w:val="0"/>
          <w:numId w:val="4"/>
        </w:numPr>
        <w:jc w:val="both"/>
        <w:rPr>
          <w:rFonts w:cstheme="minorHAnsi"/>
        </w:rPr>
      </w:pPr>
      <w:r w:rsidRPr="008F01DD">
        <w:rPr>
          <w:rFonts w:cstheme="minorHAnsi"/>
        </w:rPr>
        <w:t>Ligji Nr. 111/2017 “Për ndihmën juridike të garantuar nga shteti”.</w:t>
      </w:r>
    </w:p>
    <w:p w14:paraId="7FC285EA" w14:textId="77777777" w:rsidR="00842DB6" w:rsidRPr="008F01DD" w:rsidRDefault="00842DB6" w:rsidP="00842DB6">
      <w:pPr>
        <w:pStyle w:val="ListParagraph"/>
        <w:numPr>
          <w:ilvl w:val="0"/>
          <w:numId w:val="4"/>
        </w:numPr>
        <w:jc w:val="both"/>
        <w:rPr>
          <w:rFonts w:cstheme="minorHAnsi"/>
        </w:rPr>
      </w:pPr>
      <w:r w:rsidRPr="008F01DD">
        <w:rPr>
          <w:rFonts w:cstheme="minorHAnsi"/>
        </w:rPr>
        <w:t>Ligji Nr. 35/2017 “Për disa shtesa dhe ndryshime në ligjin Nr. 7905, datë 21.03.1995, “Kodi i Procedurës Penale”, i ndryshuar.</w:t>
      </w:r>
    </w:p>
    <w:p w14:paraId="64985625" w14:textId="77777777" w:rsidR="00842DB6" w:rsidRPr="008F01DD" w:rsidRDefault="00842DB6" w:rsidP="00842DB6">
      <w:pPr>
        <w:pStyle w:val="ListParagraph"/>
        <w:numPr>
          <w:ilvl w:val="0"/>
          <w:numId w:val="4"/>
        </w:numPr>
        <w:jc w:val="both"/>
        <w:rPr>
          <w:rFonts w:cstheme="minorHAnsi"/>
        </w:rPr>
      </w:pPr>
      <w:r w:rsidRPr="008F01DD">
        <w:rPr>
          <w:rFonts w:cstheme="minorHAnsi"/>
        </w:rPr>
        <w:t>Ligji Nr. 79/2017 “Për sportin”.</w:t>
      </w:r>
    </w:p>
    <w:p w14:paraId="432DB843" w14:textId="77777777" w:rsidR="00842DB6" w:rsidRPr="008F01DD" w:rsidRDefault="00842DB6" w:rsidP="00842DB6">
      <w:pPr>
        <w:pStyle w:val="ListParagraph"/>
        <w:numPr>
          <w:ilvl w:val="0"/>
          <w:numId w:val="4"/>
        </w:numPr>
        <w:jc w:val="both"/>
        <w:rPr>
          <w:rFonts w:cstheme="minorHAnsi"/>
        </w:rPr>
      </w:pPr>
      <w:r w:rsidRPr="008F01DD">
        <w:rPr>
          <w:rFonts w:cstheme="minorHAnsi"/>
        </w:rPr>
        <w:t>Ligji Nr. 22/2018 “Për strehimin social”.</w:t>
      </w:r>
    </w:p>
    <w:p w14:paraId="4C02AE9E" w14:textId="77777777" w:rsidR="00842DB6" w:rsidRPr="008F01DD" w:rsidRDefault="00842DB6" w:rsidP="00842DB6">
      <w:pPr>
        <w:pStyle w:val="ListParagraph"/>
        <w:numPr>
          <w:ilvl w:val="0"/>
          <w:numId w:val="4"/>
        </w:numPr>
        <w:jc w:val="both"/>
        <w:rPr>
          <w:rFonts w:cstheme="minorHAnsi"/>
        </w:rPr>
      </w:pPr>
      <w:r w:rsidRPr="008F01DD">
        <w:rPr>
          <w:rFonts w:cstheme="minorHAnsi"/>
        </w:rPr>
        <w:t>Ligji Nr. 15/2019 “Për nxitjen e punësimit”.</w:t>
      </w:r>
    </w:p>
    <w:p w14:paraId="1DF1B9CB" w14:textId="77777777" w:rsidR="00842DB6" w:rsidRPr="008F01DD" w:rsidRDefault="00842DB6" w:rsidP="00842DB6">
      <w:pPr>
        <w:pStyle w:val="ListParagraph"/>
        <w:numPr>
          <w:ilvl w:val="0"/>
          <w:numId w:val="4"/>
        </w:numPr>
        <w:jc w:val="both"/>
        <w:rPr>
          <w:rFonts w:cstheme="minorHAnsi"/>
        </w:rPr>
      </w:pPr>
      <w:r w:rsidRPr="008F01DD">
        <w:rPr>
          <w:rFonts w:cstheme="minorHAnsi"/>
        </w:rPr>
        <w:t>Ligji Nr. 75/2019 “Për rininë”, etj.</w:t>
      </w:r>
    </w:p>
    <w:p w14:paraId="5D7164C8" w14:textId="77777777" w:rsidR="00842DB6" w:rsidRPr="008F01DD" w:rsidRDefault="00842DB6" w:rsidP="00842DB6">
      <w:pPr>
        <w:pStyle w:val="ListParagraph"/>
        <w:ind w:left="1080"/>
        <w:jc w:val="both"/>
        <w:rPr>
          <w:rFonts w:cstheme="minorHAnsi"/>
        </w:rPr>
      </w:pPr>
    </w:p>
    <w:p w14:paraId="623423CC" w14:textId="77777777" w:rsidR="00842DB6" w:rsidRPr="008F01DD" w:rsidRDefault="00842DB6" w:rsidP="00842DB6">
      <w:pPr>
        <w:pStyle w:val="ListParagraph"/>
        <w:numPr>
          <w:ilvl w:val="0"/>
          <w:numId w:val="2"/>
        </w:numPr>
        <w:jc w:val="both"/>
        <w:rPr>
          <w:rFonts w:cstheme="minorHAnsi"/>
          <w:b/>
          <w:bCs/>
          <w:i/>
          <w:iCs/>
        </w:rPr>
      </w:pPr>
      <w:r w:rsidRPr="008F01DD">
        <w:rPr>
          <w:rFonts w:cstheme="minorHAnsi"/>
          <w:b/>
          <w:bCs/>
          <w:i/>
          <w:iCs/>
        </w:rPr>
        <w:t>Politikat kombëtare</w:t>
      </w:r>
    </w:p>
    <w:p w14:paraId="51268C19" w14:textId="1ABFBE90" w:rsidR="00842DB6" w:rsidRPr="00F12D10" w:rsidRDefault="00842DB6" w:rsidP="00F12D10">
      <w:pPr>
        <w:pStyle w:val="ListParagraph"/>
        <w:jc w:val="both"/>
        <w:rPr>
          <w:rFonts w:cstheme="minorHAnsi"/>
        </w:rPr>
      </w:pPr>
      <w:r w:rsidRPr="008F01DD">
        <w:rPr>
          <w:rFonts w:cstheme="minorHAnsi"/>
        </w:rPr>
        <w:t>Të gjitha masat dhe veprimet e parashikuara në këtë PVVBGJ 202</w:t>
      </w:r>
      <w:r w:rsidR="009B0FCC">
        <w:rPr>
          <w:rFonts w:cstheme="minorHAnsi"/>
        </w:rPr>
        <w:t>6</w:t>
      </w:r>
      <w:r w:rsidRPr="008F01DD">
        <w:rPr>
          <w:rFonts w:cstheme="minorHAnsi"/>
        </w:rPr>
        <w:t xml:space="preserve"> – 20</w:t>
      </w:r>
      <w:r w:rsidR="009B0FCC">
        <w:rPr>
          <w:rFonts w:cstheme="minorHAnsi"/>
        </w:rPr>
        <w:t>30</w:t>
      </w:r>
      <w:r w:rsidRPr="008F01DD">
        <w:rPr>
          <w:rFonts w:cstheme="minorHAnsi"/>
        </w:rPr>
        <w:t xml:space="preserve"> kuptohet që mbështeten edhe në strategjitë apo planet kombëtare të veprimit që mbulojnë sektorët (drejtoritë) e caktuara sipas fushave të tyre. Por politika kryesore kombëtare mbi të cilën bazohet ky PVVBGJ është Strategjia Kombëtare për Barazinë Gjinore 2021 -2030</w:t>
      </w:r>
      <w:r w:rsidRPr="008F01DD">
        <w:rPr>
          <w:rStyle w:val="FootnoteReference"/>
          <w:rFonts w:eastAsiaTheme="majorEastAsia" w:cstheme="minorHAnsi"/>
        </w:rPr>
        <w:footnoteReference w:id="2"/>
      </w:r>
      <w:r w:rsidRPr="008F01DD">
        <w:rPr>
          <w:rFonts w:cstheme="minorHAnsi"/>
        </w:rPr>
        <w:t>.</w:t>
      </w:r>
    </w:p>
    <w:p w14:paraId="4ED973F2" w14:textId="77777777" w:rsidR="00842DB6" w:rsidRPr="00AB4D39" w:rsidRDefault="00842DB6" w:rsidP="00842DB6">
      <w:pPr>
        <w:pStyle w:val="Heading1"/>
        <w:rPr>
          <w:rFonts w:ascii="Times New Roman" w:hAnsi="Times New Roman" w:cs="Times New Roman"/>
          <w:color w:val="auto"/>
          <w:sz w:val="24"/>
          <w:szCs w:val="24"/>
        </w:rPr>
      </w:pPr>
      <w:bookmarkStart w:id="6" w:name="_Toc204608633"/>
      <w:r w:rsidRPr="00AB4D39">
        <w:rPr>
          <w:rFonts w:ascii="Times New Roman" w:hAnsi="Times New Roman" w:cs="Times New Roman"/>
          <w:color w:val="auto"/>
          <w:sz w:val="24"/>
          <w:szCs w:val="24"/>
        </w:rPr>
        <w:t>II. QËLLIMET STRATEGJIKE DHE OBJEKTIVAT SPECIFIKE</w:t>
      </w:r>
      <w:bookmarkEnd w:id="6"/>
      <w:r w:rsidRPr="00AB4D39">
        <w:rPr>
          <w:rFonts w:ascii="Times New Roman" w:hAnsi="Times New Roman" w:cs="Times New Roman"/>
          <w:color w:val="auto"/>
          <w:sz w:val="24"/>
          <w:szCs w:val="24"/>
        </w:rPr>
        <w:t xml:space="preserve"> </w:t>
      </w:r>
    </w:p>
    <w:p w14:paraId="0741F517" w14:textId="47F7700A" w:rsidR="00842DB6" w:rsidRPr="00AB4D39" w:rsidRDefault="00842DB6" w:rsidP="00842DB6">
      <w:pPr>
        <w:jc w:val="both"/>
        <w:rPr>
          <w:bCs/>
        </w:rPr>
      </w:pPr>
      <w:r w:rsidRPr="00AB4D39">
        <w:t xml:space="preserve">Plani i Veprimit për Barazinë Gjinore </w:t>
      </w:r>
      <w:r w:rsidR="00DA0238" w:rsidRPr="00AB4D39">
        <w:t>202</w:t>
      </w:r>
      <w:r w:rsidR="009B0FCC" w:rsidRPr="00AB4D39">
        <w:t>6</w:t>
      </w:r>
      <w:r w:rsidR="00DA0238" w:rsidRPr="00AB4D39">
        <w:t>-2030</w:t>
      </w:r>
      <w:r w:rsidRPr="00AB4D39">
        <w:t xml:space="preserve"> përmban në themel të tij vizionin </w:t>
      </w:r>
      <w:r w:rsidR="008041FF" w:rsidRPr="00AB4D39">
        <w:rPr>
          <w:bCs/>
          <w:i/>
        </w:rPr>
        <w:t>Bashkine Puke</w:t>
      </w:r>
      <w:r w:rsidRPr="00AB4D39">
        <w:rPr>
          <w:bCs/>
          <w:i/>
        </w:rPr>
        <w:t xml:space="preserve"> gratë dhe burrat, të rejat dhe të rinjtë, si dhe vajzat dhe djemtë, pavarësisht moshës, nevojave të veçanta, grupit etnik e social, përkatësisë fetare, orientimit seksual apo identitetit të tyre gjinor, trajtohen sipas parimit të barazisë dhe drejtësisë gjinore, në të gjitha fushat e jetës</w:t>
      </w:r>
      <w:r w:rsidRPr="00AB4D39">
        <w:rPr>
          <w:bCs/>
        </w:rPr>
        <w:t>.</w:t>
      </w:r>
    </w:p>
    <w:p w14:paraId="08643599" w14:textId="77777777" w:rsidR="00842DB6" w:rsidRPr="00AB4D39" w:rsidRDefault="00842DB6" w:rsidP="00842DB6">
      <w:pPr>
        <w:jc w:val="both"/>
      </w:pPr>
    </w:p>
    <w:p w14:paraId="0768D194" w14:textId="77777777" w:rsidR="00842DB6" w:rsidRPr="00AB4D39" w:rsidRDefault="00842DB6" w:rsidP="00842DB6">
      <w:pPr>
        <w:jc w:val="both"/>
      </w:pPr>
      <w:r w:rsidRPr="00AB4D39">
        <w:t>Ai përbëhet nga qëllime strategjike dhe  objektiva specifike të paraqitura në vijim:</w:t>
      </w:r>
    </w:p>
    <w:p w14:paraId="5B3CC792" w14:textId="77777777" w:rsidR="00DA0238" w:rsidRPr="008041FF" w:rsidRDefault="00DA0238" w:rsidP="00842DB6">
      <w:pPr>
        <w:jc w:val="both"/>
        <w:rPr>
          <w:color w:val="EE0000"/>
        </w:rPr>
      </w:pPr>
    </w:p>
    <w:tbl>
      <w:tblPr>
        <w:tblStyle w:val="TableGrid"/>
        <w:tblW w:w="0" w:type="auto"/>
        <w:tblBorders>
          <w:bottom w:val="none" w:sz="0" w:space="0" w:color="auto"/>
        </w:tblBorders>
        <w:tblLook w:val="04A0" w:firstRow="1" w:lastRow="0" w:firstColumn="1" w:lastColumn="0" w:noHBand="0" w:noVBand="1"/>
      </w:tblPr>
      <w:tblGrid>
        <w:gridCol w:w="2341"/>
        <w:gridCol w:w="6675"/>
      </w:tblGrid>
      <w:tr w:rsidR="008041FF" w:rsidRPr="008041FF" w14:paraId="5F0FD0C3" w14:textId="77777777" w:rsidTr="00DA0238">
        <w:tc>
          <w:tcPr>
            <w:tcW w:w="2448" w:type="dxa"/>
            <w:shd w:val="clear" w:color="auto" w:fill="B1B1BC" w:themeFill="text2" w:themeFillTint="66"/>
          </w:tcPr>
          <w:p w14:paraId="45C11DB5" w14:textId="77777777" w:rsidR="00842DB6" w:rsidRPr="00AB4D39" w:rsidRDefault="00842DB6" w:rsidP="000725DB">
            <w:pPr>
              <w:jc w:val="both"/>
            </w:pPr>
            <w:r w:rsidRPr="00AB4D39">
              <w:t>Qëllimi strategjik:</w:t>
            </w:r>
          </w:p>
        </w:tc>
        <w:tc>
          <w:tcPr>
            <w:tcW w:w="7110" w:type="dxa"/>
            <w:shd w:val="clear" w:color="auto" w:fill="B1B1BC" w:themeFill="text2" w:themeFillTint="66"/>
          </w:tcPr>
          <w:p w14:paraId="1C9D7149" w14:textId="77777777" w:rsidR="00842DB6" w:rsidRPr="00AB4D39" w:rsidRDefault="00842DB6" w:rsidP="00842DB6">
            <w:pPr>
              <w:numPr>
                <w:ilvl w:val="0"/>
                <w:numId w:val="5"/>
              </w:numPr>
              <w:ind w:left="432" w:hanging="432"/>
              <w:jc w:val="both"/>
            </w:pPr>
            <w:r w:rsidRPr="00AB4D39">
              <w:t>Promovimi i të drejtës për barazi të grave dhe burrave, të rejave dhe të rinjve, si dhe vajzave dhe djemve, si parakusht themelor për demokracinë dhe shoqërinë demokratike.</w:t>
            </w:r>
          </w:p>
        </w:tc>
      </w:tr>
      <w:tr w:rsidR="008041FF" w:rsidRPr="008041FF" w14:paraId="0E21FC36" w14:textId="77777777" w:rsidTr="00DA0238">
        <w:tc>
          <w:tcPr>
            <w:tcW w:w="2448" w:type="dxa"/>
            <w:shd w:val="clear" w:color="auto" w:fill="D8D8DE" w:themeFill="text2" w:themeFillTint="33"/>
          </w:tcPr>
          <w:p w14:paraId="7CC8C179" w14:textId="77777777" w:rsidR="00842DB6" w:rsidRPr="00AB4D39" w:rsidRDefault="00842DB6" w:rsidP="000725DB">
            <w:pPr>
              <w:jc w:val="both"/>
            </w:pPr>
            <w:r w:rsidRPr="00AB4D39">
              <w:t xml:space="preserve">Objektivat specifike: </w:t>
            </w:r>
          </w:p>
        </w:tc>
        <w:tc>
          <w:tcPr>
            <w:tcW w:w="7110" w:type="dxa"/>
            <w:shd w:val="clear" w:color="auto" w:fill="D8D8DE" w:themeFill="text2" w:themeFillTint="33"/>
          </w:tcPr>
          <w:p w14:paraId="3CB329BB" w14:textId="3EB14EEE" w:rsidR="00842DB6" w:rsidRPr="00AB4D39" w:rsidRDefault="00842DB6" w:rsidP="00842DB6">
            <w:pPr>
              <w:numPr>
                <w:ilvl w:val="1"/>
                <w:numId w:val="5"/>
              </w:numPr>
              <w:ind w:left="432" w:hanging="432"/>
              <w:jc w:val="both"/>
            </w:pPr>
            <w:r w:rsidRPr="00AB4D39">
              <w:t>Të rritet pjesëmarrja e grave dhe t</w:t>
            </w:r>
            <w:r w:rsidRPr="00AB4D39">
              <w:rPr>
                <w:rFonts w:cs="Arial"/>
              </w:rPr>
              <w:t>ë</w:t>
            </w:r>
            <w:r w:rsidRPr="00AB4D39">
              <w:t xml:space="preserve"> rejave në të gjitha takimet dhe dëgjesat publike të organizuara nga Bashkia </w:t>
            </w:r>
            <w:r w:rsidR="00B9105C">
              <w:t>Puke</w:t>
            </w:r>
            <w:r w:rsidRPr="00AB4D39">
              <w:t>.</w:t>
            </w:r>
          </w:p>
          <w:p w14:paraId="4054BEA1" w14:textId="77777777" w:rsidR="00842DB6" w:rsidRPr="00AB4D39" w:rsidRDefault="00842DB6" w:rsidP="00842DB6">
            <w:pPr>
              <w:numPr>
                <w:ilvl w:val="1"/>
                <w:numId w:val="5"/>
              </w:numPr>
              <w:ind w:left="432" w:hanging="432"/>
              <w:jc w:val="both"/>
            </w:pPr>
            <w:r w:rsidRPr="00AB4D39">
              <w:t>Të fuqizohet mekanizmi institucional vendor për arritjen e barazisë gjinore.</w:t>
            </w:r>
          </w:p>
        </w:tc>
      </w:tr>
      <w:tr w:rsidR="008041FF" w:rsidRPr="008041FF" w14:paraId="2CEFA217" w14:textId="77777777" w:rsidTr="00DA0238">
        <w:tc>
          <w:tcPr>
            <w:tcW w:w="2448" w:type="dxa"/>
            <w:shd w:val="clear" w:color="auto" w:fill="B5C7F5" w:themeFill="accent4" w:themeFillTint="66"/>
          </w:tcPr>
          <w:p w14:paraId="48D54F4D" w14:textId="77777777" w:rsidR="00842DB6" w:rsidRPr="00AB4D39" w:rsidRDefault="00842DB6" w:rsidP="000725DB">
            <w:pPr>
              <w:jc w:val="both"/>
            </w:pPr>
            <w:r w:rsidRPr="00AB4D39">
              <w:t>Qëllimi strategjik:</w:t>
            </w:r>
          </w:p>
        </w:tc>
        <w:tc>
          <w:tcPr>
            <w:tcW w:w="7110" w:type="dxa"/>
            <w:shd w:val="clear" w:color="auto" w:fill="B5C7F5" w:themeFill="accent4" w:themeFillTint="66"/>
          </w:tcPr>
          <w:p w14:paraId="3A5012D7" w14:textId="53BFF733" w:rsidR="00842DB6" w:rsidRPr="00AB4D39" w:rsidRDefault="00842DB6" w:rsidP="000725DB">
            <w:pPr>
              <w:ind w:left="432" w:hanging="432"/>
              <w:jc w:val="both"/>
            </w:pPr>
            <w:r w:rsidRPr="00AB4D39">
              <w:t xml:space="preserve">2.  Promovimi i parimit të barazisë ndërmjet grave dhe burrave, si dhe të rejave dhe të rinjve, në jetën politike e publike, përmes përmbushjes së angazhimeve publike për barazinë gjinore, të ndërmarra nga Bashkia </w:t>
            </w:r>
            <w:r w:rsidR="008041FF" w:rsidRPr="00AB4D39">
              <w:t>Puke</w:t>
            </w:r>
            <w:r w:rsidRPr="00AB4D39">
              <w:t>.</w:t>
            </w:r>
          </w:p>
        </w:tc>
      </w:tr>
      <w:tr w:rsidR="00842DB6" w:rsidRPr="00022991" w14:paraId="7E7607E9" w14:textId="77777777" w:rsidTr="00DA0238">
        <w:tc>
          <w:tcPr>
            <w:tcW w:w="2448" w:type="dxa"/>
            <w:shd w:val="clear" w:color="auto" w:fill="DAE3FA" w:themeFill="accent4" w:themeFillTint="33"/>
          </w:tcPr>
          <w:p w14:paraId="002A19FC" w14:textId="77777777" w:rsidR="00842DB6" w:rsidRPr="00AB4D39" w:rsidRDefault="00842DB6" w:rsidP="000725DB">
            <w:pPr>
              <w:jc w:val="both"/>
            </w:pPr>
            <w:r w:rsidRPr="00AB4D39">
              <w:t xml:space="preserve">Objektivat specifike: </w:t>
            </w:r>
          </w:p>
        </w:tc>
        <w:tc>
          <w:tcPr>
            <w:tcW w:w="7110" w:type="dxa"/>
            <w:shd w:val="clear" w:color="auto" w:fill="DAE3FA" w:themeFill="accent4" w:themeFillTint="33"/>
          </w:tcPr>
          <w:p w14:paraId="6A3392EA" w14:textId="77777777" w:rsidR="00842DB6" w:rsidRPr="00AB4D39" w:rsidRDefault="00842DB6" w:rsidP="00A33A43">
            <w:pPr>
              <w:ind w:left="432" w:hanging="432"/>
              <w:jc w:val="both"/>
            </w:pPr>
            <w:r w:rsidRPr="00AB4D39">
              <w:t xml:space="preserve">2.1. Të rritet pjesëmarrja e grave dhe të rejave të zonave rurale, si dhe grave dhe të rejave me aftësi të kufizuara, në procesin e votimit për zgjedhjet vendore </w:t>
            </w:r>
            <w:r w:rsidR="00DA0238" w:rsidRPr="00AB4D39">
              <w:t>dhe qendrore</w:t>
            </w:r>
            <w:r w:rsidRPr="00AB4D39">
              <w:t xml:space="preserve"> </w:t>
            </w:r>
          </w:p>
          <w:p w14:paraId="579807F4" w14:textId="3290FA30" w:rsidR="00842DB6" w:rsidRPr="00AB4D39" w:rsidRDefault="00842DB6" w:rsidP="000725DB">
            <w:pPr>
              <w:ind w:left="432" w:hanging="432"/>
              <w:jc w:val="both"/>
            </w:pPr>
            <w:r w:rsidRPr="00AB4D39">
              <w:t>2.</w:t>
            </w:r>
            <w:r w:rsidR="00A33A43" w:rsidRPr="00AB4D39">
              <w:t>2.</w:t>
            </w:r>
            <w:r w:rsidRPr="00AB4D39">
              <w:t xml:space="preserve"> Të përmbushen angazhimet publike zyrtare ndaj parimit të barazisë së grave dhe burrave, të rejave dhe të rinjve, si dhe vajzave dhe djemve në jetën publike, të ndërmarra nga Bashkia </w:t>
            </w:r>
            <w:r w:rsidR="008041FF" w:rsidRPr="00AB4D39">
              <w:t>Puke</w:t>
            </w:r>
            <w:r w:rsidRPr="00AB4D39">
              <w:t>.</w:t>
            </w:r>
          </w:p>
        </w:tc>
      </w:tr>
      <w:tr w:rsidR="00842DB6" w:rsidRPr="00022991" w14:paraId="39F930E2" w14:textId="77777777" w:rsidTr="00DA0238">
        <w:tc>
          <w:tcPr>
            <w:tcW w:w="2448" w:type="dxa"/>
            <w:shd w:val="clear" w:color="auto" w:fill="EEB5C6" w:themeFill="accent6" w:themeFillTint="66"/>
          </w:tcPr>
          <w:p w14:paraId="111A618B" w14:textId="77777777" w:rsidR="00842DB6" w:rsidRPr="00AB4D39" w:rsidRDefault="00842DB6" w:rsidP="000725DB">
            <w:pPr>
              <w:jc w:val="both"/>
            </w:pPr>
            <w:r w:rsidRPr="00AB4D39">
              <w:t>Qëllimi strategjik:</w:t>
            </w:r>
          </w:p>
        </w:tc>
        <w:tc>
          <w:tcPr>
            <w:tcW w:w="7110" w:type="dxa"/>
            <w:shd w:val="clear" w:color="auto" w:fill="EEB5C6" w:themeFill="accent6" w:themeFillTint="66"/>
          </w:tcPr>
          <w:p w14:paraId="3C1CDA8D" w14:textId="77777777" w:rsidR="00842DB6" w:rsidRPr="00AB4D39" w:rsidRDefault="00842DB6" w:rsidP="000725DB">
            <w:pPr>
              <w:ind w:left="432" w:hanging="432"/>
              <w:jc w:val="both"/>
            </w:pPr>
            <w:r w:rsidRPr="00AB4D39">
              <w:t>3.  Reduktimi i steriotipeve dhe pabarazive gjinore, përmes promovimit të parimit të barazisë ndërmjet grave dhe burrave, të rejave dhe të rinjve, si dhe vajzave dhe djemve, në aksesin dhe cilësinë e shërbimeve të ofruara</w:t>
            </w:r>
          </w:p>
        </w:tc>
      </w:tr>
      <w:tr w:rsidR="00842DB6" w:rsidRPr="00022991" w14:paraId="16D76341" w14:textId="77777777" w:rsidTr="00DA0238">
        <w:tc>
          <w:tcPr>
            <w:tcW w:w="2448" w:type="dxa"/>
            <w:shd w:val="clear" w:color="auto" w:fill="F6DAE2" w:themeFill="accent6" w:themeFillTint="33"/>
          </w:tcPr>
          <w:p w14:paraId="27D529E4" w14:textId="77777777" w:rsidR="00842DB6" w:rsidRPr="00AB4D39" w:rsidRDefault="00842DB6" w:rsidP="000725DB">
            <w:pPr>
              <w:jc w:val="both"/>
            </w:pPr>
            <w:r w:rsidRPr="00AB4D39">
              <w:t xml:space="preserve">Objektivat specifike: </w:t>
            </w:r>
          </w:p>
        </w:tc>
        <w:tc>
          <w:tcPr>
            <w:tcW w:w="7110" w:type="dxa"/>
            <w:shd w:val="clear" w:color="auto" w:fill="F6DAE2" w:themeFill="accent6" w:themeFillTint="33"/>
          </w:tcPr>
          <w:p w14:paraId="37B4D6DC" w14:textId="77777777" w:rsidR="00842DB6" w:rsidRPr="00AB4D39" w:rsidRDefault="00842DB6" w:rsidP="000725DB">
            <w:pPr>
              <w:ind w:left="432" w:hanging="432"/>
              <w:jc w:val="both"/>
            </w:pPr>
            <w:r w:rsidRPr="00AB4D39">
              <w:t xml:space="preserve">3.1. Të reduktohen steriotipet gjinore në arsim </w:t>
            </w:r>
          </w:p>
          <w:p w14:paraId="2FA39741" w14:textId="77777777" w:rsidR="00842DB6" w:rsidRPr="00AB4D39" w:rsidRDefault="00842DB6" w:rsidP="000725DB">
            <w:pPr>
              <w:ind w:left="432" w:hanging="432"/>
              <w:jc w:val="both"/>
            </w:pPr>
            <w:r w:rsidRPr="00AB4D39">
              <w:t>3.2. Të sigurohet një qasje e përshtatshme e grave dhe burrave, si dhe të rejave dhe të rinjve nga grupet në nevojë, ndaj informacioneve shëndetësore.</w:t>
            </w:r>
          </w:p>
          <w:p w14:paraId="31EE7095" w14:textId="77777777" w:rsidR="00842DB6" w:rsidRPr="00AB4D39" w:rsidRDefault="00842DB6" w:rsidP="000725DB">
            <w:pPr>
              <w:ind w:left="432" w:hanging="432"/>
              <w:jc w:val="both"/>
            </w:pPr>
            <w:r w:rsidRPr="00AB4D39">
              <w:t>3.3. Të sigurohet një qasje e barabartë e grave dhe burrave, të rejave dhe të rinjve, si dhe vajzave dhe djemve, në shërbimet dhe përkujdesin social si dhe në përfshirjen sociale të tyre.</w:t>
            </w:r>
          </w:p>
          <w:p w14:paraId="2361C10C" w14:textId="77777777" w:rsidR="00842DB6" w:rsidRPr="00AB4D39" w:rsidRDefault="00842DB6" w:rsidP="000725DB">
            <w:pPr>
              <w:ind w:left="432" w:hanging="432"/>
              <w:jc w:val="both"/>
            </w:pPr>
            <w:r w:rsidRPr="00AB4D39">
              <w:t>3.4. Të promovohet askesi në informacion dhe qasja e barabartë në strehim, për grupe të veçanta.</w:t>
            </w:r>
          </w:p>
          <w:p w14:paraId="7837B6AF" w14:textId="77777777" w:rsidR="00842DB6" w:rsidRPr="00AB4D39" w:rsidRDefault="00842DB6" w:rsidP="00A33A43">
            <w:pPr>
              <w:ind w:left="432" w:hanging="432"/>
              <w:jc w:val="both"/>
            </w:pPr>
            <w:r w:rsidRPr="00AB4D39">
              <w:t>3.5. Të promovohet e drejta e qasjes së barabartë të vajzave dhe djemve, si dhe të rejave e të rinjve në veprimtaritë dhe institucionet sportive, artistike dhe kulturore.</w:t>
            </w:r>
          </w:p>
          <w:p w14:paraId="0C6842CD" w14:textId="77777777" w:rsidR="00842DB6" w:rsidRPr="00AB4D39" w:rsidRDefault="00842DB6" w:rsidP="000725DB">
            <w:pPr>
              <w:ind w:left="432" w:hanging="432"/>
              <w:jc w:val="both"/>
            </w:pPr>
            <w:r w:rsidRPr="00AB4D39">
              <w:t>3.</w:t>
            </w:r>
            <w:r w:rsidR="00A33A43" w:rsidRPr="00AB4D39">
              <w:t>6</w:t>
            </w:r>
            <w:r w:rsidRPr="00AB4D39">
              <w:t>. Të rritet efektiviteti i qasjes shumë-sektoriale dhe shërbimeve bazë të specializuara për viktimat/të mbjetuarit/at e dhunës me bazë gjinore dhe trafikimit.</w:t>
            </w:r>
          </w:p>
        </w:tc>
      </w:tr>
      <w:tr w:rsidR="00842DB6" w:rsidRPr="00022991" w14:paraId="0495CA0D" w14:textId="77777777" w:rsidTr="00DA0238">
        <w:tc>
          <w:tcPr>
            <w:tcW w:w="2448" w:type="dxa"/>
            <w:shd w:val="clear" w:color="auto" w:fill="CFC6F3" w:themeFill="accent5" w:themeFillTint="66"/>
          </w:tcPr>
          <w:p w14:paraId="6007719A" w14:textId="77777777" w:rsidR="00842DB6" w:rsidRPr="00AB4D39" w:rsidRDefault="00842DB6" w:rsidP="000725DB">
            <w:pPr>
              <w:jc w:val="both"/>
            </w:pPr>
            <w:r w:rsidRPr="00AB4D39">
              <w:t>Qëllimi strategjik:</w:t>
            </w:r>
          </w:p>
        </w:tc>
        <w:tc>
          <w:tcPr>
            <w:tcW w:w="7110" w:type="dxa"/>
            <w:shd w:val="clear" w:color="auto" w:fill="CFC6F3" w:themeFill="accent5" w:themeFillTint="66"/>
          </w:tcPr>
          <w:p w14:paraId="189E1B9B" w14:textId="77777777" w:rsidR="00842DB6" w:rsidRPr="00AB4D39" w:rsidRDefault="00842DB6" w:rsidP="00842DB6">
            <w:pPr>
              <w:numPr>
                <w:ilvl w:val="0"/>
                <w:numId w:val="6"/>
              </w:numPr>
              <w:ind w:left="432" w:hanging="432"/>
              <w:jc w:val="both"/>
            </w:pPr>
            <w:r w:rsidRPr="00AB4D39">
              <w:t>Reflektimi i parimeve të planifikimit dhe zhvillimit të qëndrueshëm, përmes integrimit të balancuar të përmasave ekonomike, shoqërore, urbanistike e mjedisore.</w:t>
            </w:r>
          </w:p>
        </w:tc>
      </w:tr>
      <w:tr w:rsidR="00842DB6" w:rsidRPr="00022991" w14:paraId="085D419C" w14:textId="77777777" w:rsidTr="00DA0238">
        <w:tc>
          <w:tcPr>
            <w:tcW w:w="2448" w:type="dxa"/>
            <w:shd w:val="clear" w:color="auto" w:fill="E7E2F9" w:themeFill="accent5" w:themeFillTint="33"/>
          </w:tcPr>
          <w:p w14:paraId="017505CE" w14:textId="77777777" w:rsidR="00842DB6" w:rsidRPr="00AB4D39" w:rsidRDefault="00842DB6" w:rsidP="000725DB">
            <w:pPr>
              <w:jc w:val="both"/>
            </w:pPr>
            <w:r w:rsidRPr="00AB4D39">
              <w:t xml:space="preserve">Objektivat specifike: </w:t>
            </w:r>
          </w:p>
        </w:tc>
        <w:tc>
          <w:tcPr>
            <w:tcW w:w="7110" w:type="dxa"/>
            <w:shd w:val="clear" w:color="auto" w:fill="E7E2F9" w:themeFill="accent5" w:themeFillTint="33"/>
          </w:tcPr>
          <w:p w14:paraId="016C6257" w14:textId="77777777" w:rsidR="00842DB6" w:rsidRPr="00AB4D39" w:rsidRDefault="00842DB6" w:rsidP="000725DB">
            <w:pPr>
              <w:ind w:left="432" w:hanging="450"/>
              <w:jc w:val="both"/>
            </w:pPr>
            <w:r w:rsidRPr="00AB4D39">
              <w:t>4.1. Të ndërmerren veprime të përshtatshme për çuarjen përpara të barazisë ndërmjet grave dhe burrave, si dhe të rejave e të rinjve në fushën e zhvillimit ekonomik dhe punësimit.</w:t>
            </w:r>
          </w:p>
          <w:p w14:paraId="3605676B" w14:textId="77777777" w:rsidR="00842DB6" w:rsidRPr="00AB4D39" w:rsidRDefault="00842DB6" w:rsidP="000725DB">
            <w:pPr>
              <w:ind w:left="432" w:hanging="450"/>
              <w:jc w:val="both"/>
            </w:pPr>
            <w:r w:rsidRPr="00AB4D39">
              <w:t>4.2. Të përfshihet perspektiva gjinore në procesin e planifikimit dhe zbatimit të projekteve e iniciativave në zhvillimin urban, transport e mjedis.</w:t>
            </w:r>
          </w:p>
        </w:tc>
      </w:tr>
    </w:tbl>
    <w:p w14:paraId="7CAABEB5" w14:textId="77777777" w:rsidR="00A33A43" w:rsidRDefault="00A33A43" w:rsidP="00842DB6">
      <w:pPr>
        <w:jc w:val="both"/>
      </w:pPr>
    </w:p>
    <w:p w14:paraId="3D631912" w14:textId="77777777" w:rsidR="00A33A43" w:rsidRDefault="00A33A43" w:rsidP="00842DB6">
      <w:pPr>
        <w:jc w:val="both"/>
      </w:pPr>
    </w:p>
    <w:p w14:paraId="1DC58FFF" w14:textId="77777777" w:rsidR="00A33A43" w:rsidRDefault="00A33A43" w:rsidP="00842DB6">
      <w:pPr>
        <w:jc w:val="both"/>
      </w:pPr>
    </w:p>
    <w:p w14:paraId="3F31F5EA" w14:textId="77777777" w:rsidR="00842DB6" w:rsidRDefault="00A33A43" w:rsidP="00A33A43">
      <w:pPr>
        <w:pStyle w:val="Heading1"/>
        <w:rPr>
          <w:rFonts w:ascii="Times New Roman" w:hAnsi="Times New Roman" w:cs="Times New Roman"/>
          <w:sz w:val="24"/>
          <w:szCs w:val="24"/>
        </w:rPr>
      </w:pPr>
      <w:bookmarkStart w:id="7" w:name="_Toc204608634"/>
      <w:r w:rsidRPr="008D30DB">
        <w:rPr>
          <w:rFonts w:ascii="Times New Roman" w:hAnsi="Times New Roman" w:cs="Times New Roman"/>
          <w:sz w:val="24"/>
          <w:szCs w:val="24"/>
        </w:rPr>
        <w:lastRenderedPageBreak/>
        <w:t>III A</w:t>
      </w:r>
      <w:bookmarkEnd w:id="7"/>
      <w:r w:rsidR="008C3528">
        <w:rPr>
          <w:rFonts w:ascii="Times New Roman" w:hAnsi="Times New Roman" w:cs="Times New Roman"/>
          <w:sz w:val="24"/>
          <w:szCs w:val="24"/>
        </w:rPr>
        <w:t>NALIZA E SITUATËS</w:t>
      </w:r>
    </w:p>
    <w:p w14:paraId="22736157" w14:textId="5BC3F489" w:rsidR="00106622" w:rsidRDefault="00106622" w:rsidP="00106622">
      <w:r>
        <w:t>Aktualisht sot popullsia e Bashkise Puke se bashku me njesite Administrative Gjegjan, Qelez,Luf,Rrape se bashku me Puken eshte 14071 banore dhe 5308 familje.</w:t>
      </w:r>
    </w:p>
    <w:p w14:paraId="3351EDAD" w14:textId="519C38D0" w:rsidR="00106622" w:rsidRPr="00106622" w:rsidRDefault="00106622" w:rsidP="00106622">
      <w:r>
        <w:t>Duke pare te dhenat demografike vihet re qe nga viti 2020 ka renje te theksuar te popullsise,pasi jane larguar per nje jete me te mire.</w:t>
      </w:r>
    </w:p>
    <w:p w14:paraId="6577E848" w14:textId="7E3484D7" w:rsidR="00527317" w:rsidRDefault="00527317" w:rsidP="00527317">
      <w:pPr>
        <w:spacing w:before="120" w:after="120"/>
        <w:jc w:val="both"/>
        <w:rPr>
          <w:lang w:val="sq-AL"/>
        </w:rPr>
      </w:pPr>
      <w:r w:rsidRPr="00F97B4B">
        <w:rPr>
          <w:lang w:val="sq-AL"/>
        </w:rPr>
        <w:t>Rënia e numrit të të rinjve në grupmoshat 0-19 vjeç dhe 20-29 vjeç sugjeron një tendencë të shqetësuese për potencialin e rënies së gjeneratave të reja. Kjo rënie e të rinjve mund të interpretohet si një shenjë e emigracionit të tyre jashtë territorit apo largimit nga zona për shkaqe të ndryshme. Ulja e grupmoshave 50-59 vjeç tregon për një proces të plote të plakjes së popullsisë. Ky grup është në një fazë kur njerëzit fillojnë të ndihen më pak të gatshëm për të bërë lëvizje ose të kërkojnë ndryshime të mëdha në jetën e tyre, ndaj edhe rënia e tyre është më e kuptueshme. Rritja e grupmoshave 60-69 vjeç dhe mbi 70 vjeç</w:t>
      </w:r>
      <w:r w:rsidR="00A122A3">
        <w:rPr>
          <w:lang w:val="sq-AL"/>
        </w:rPr>
        <w:t xml:space="preserve">.Popullsia mbi 60 vjeç perben rreth 29-30% te popullsise se bashkise Puke.Njesite administrative rurale kane perqindje me te larte te popullsise se moshuar,ku </w:t>
      </w:r>
      <w:r w:rsidRPr="00F97B4B">
        <w:rPr>
          <w:lang w:val="sq-AL"/>
        </w:rPr>
        <w:t>sugjero</w:t>
      </w:r>
      <w:r w:rsidR="00A122A3">
        <w:rPr>
          <w:lang w:val="sq-AL"/>
        </w:rPr>
        <w:t>het</w:t>
      </w:r>
      <w:r w:rsidRPr="00F97B4B">
        <w:rPr>
          <w:lang w:val="sq-AL"/>
        </w:rPr>
        <w:t xml:space="preserve"> një rritje në moshën e popullsisë, gjë që sjell nevojën p</w:t>
      </w:r>
      <w:r>
        <w:rPr>
          <w:lang w:val="sq-AL"/>
        </w:rPr>
        <w:t>ë</w:t>
      </w:r>
      <w:r w:rsidRPr="00F97B4B">
        <w:rPr>
          <w:lang w:val="sq-AL"/>
        </w:rPr>
        <w:t>r kujdes t</w:t>
      </w:r>
      <w:r>
        <w:rPr>
          <w:lang w:val="sq-AL"/>
        </w:rPr>
        <w:t>ë</w:t>
      </w:r>
      <w:r w:rsidRPr="00F97B4B">
        <w:rPr>
          <w:lang w:val="sq-AL"/>
        </w:rPr>
        <w:t xml:space="preserve"> shtuar shëndetësor dhe social. Profesionist</w:t>
      </w:r>
      <w:r>
        <w:rPr>
          <w:lang w:val="sq-AL"/>
        </w:rPr>
        <w:t>ë</w:t>
      </w:r>
      <w:r w:rsidRPr="00F97B4B">
        <w:rPr>
          <w:lang w:val="sq-AL"/>
        </w:rPr>
        <w:t>t vendor</w:t>
      </w:r>
      <w:r>
        <w:rPr>
          <w:lang w:val="sq-AL"/>
        </w:rPr>
        <w:t>ë</w:t>
      </w:r>
      <w:r w:rsidRPr="00F97B4B">
        <w:rPr>
          <w:lang w:val="sq-AL"/>
        </w:rPr>
        <w:t xml:space="preserve"> shprehen se faktorë si emigracioni, migrimi brenda vendit dhe numri i lindjeve janë përgjegjës për këto ndryshime të strukturës së popullsisë në Bashkinë </w:t>
      </w:r>
      <w:r w:rsidR="00577F25">
        <w:rPr>
          <w:lang w:val="sq-AL"/>
        </w:rPr>
        <w:t>Puke</w:t>
      </w:r>
      <w:r w:rsidRPr="00F97B4B">
        <w:rPr>
          <w:lang w:val="sq-AL"/>
        </w:rPr>
        <w:t>.</w:t>
      </w:r>
    </w:p>
    <w:p w14:paraId="4416F583" w14:textId="77777777" w:rsidR="00527317" w:rsidRDefault="00527317" w:rsidP="00527317">
      <w:pPr>
        <w:spacing w:before="120" w:after="120"/>
        <w:jc w:val="both"/>
        <w:rPr>
          <w:lang w:val="sq-AL"/>
        </w:rPr>
      </w:pPr>
    </w:p>
    <w:p w14:paraId="3FD576E2" w14:textId="77777777" w:rsidR="00527317" w:rsidRPr="008D30DB" w:rsidRDefault="00527317" w:rsidP="00527317">
      <w:pPr>
        <w:spacing w:before="120" w:after="120"/>
        <w:jc w:val="both"/>
        <w:rPr>
          <w:b/>
          <w:bCs/>
          <w:lang w:val="sq-AL"/>
        </w:rPr>
      </w:pPr>
      <w:r w:rsidRPr="008D30DB">
        <w:rPr>
          <w:b/>
          <w:bCs/>
          <w:lang w:val="sq-AL"/>
        </w:rPr>
        <w:t>Tabela 1 Të dhëna demografike</w:t>
      </w:r>
    </w:p>
    <w:p w14:paraId="7B3EA333" w14:textId="77777777" w:rsidR="00527317" w:rsidRPr="00F97B4B" w:rsidRDefault="00527317" w:rsidP="00527317">
      <w:pPr>
        <w:spacing w:before="120" w:after="120"/>
        <w:jc w:val="both"/>
        <w:rPr>
          <w:lang w:val="sq-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120"/>
        <w:gridCol w:w="1120"/>
        <w:gridCol w:w="1134"/>
        <w:gridCol w:w="1120"/>
        <w:gridCol w:w="1120"/>
        <w:gridCol w:w="1147"/>
      </w:tblGrid>
      <w:tr w:rsidR="00527317" w:rsidRPr="00F97B4B" w14:paraId="3EDC01A8" w14:textId="77777777" w:rsidTr="000725DB">
        <w:trPr>
          <w:trHeight w:val="517"/>
        </w:trPr>
        <w:tc>
          <w:tcPr>
            <w:tcW w:w="2448" w:type="dxa"/>
            <w:vMerge w:val="restart"/>
            <w:shd w:val="clear" w:color="auto" w:fill="94C9EA" w:themeFill="accent3" w:themeFillTint="99"/>
            <w:noWrap/>
            <w:vAlign w:val="bottom"/>
            <w:hideMark/>
          </w:tcPr>
          <w:p w14:paraId="2D07D955" w14:textId="44FD164A" w:rsidR="00527317" w:rsidRPr="00F97B4B" w:rsidRDefault="00527317" w:rsidP="000725DB">
            <w:pPr>
              <w:jc w:val="center"/>
              <w:rPr>
                <w:lang w:val="sq-AL"/>
              </w:rPr>
            </w:pPr>
            <w:r w:rsidRPr="00F97B4B">
              <w:rPr>
                <w:lang w:val="sq-AL"/>
              </w:rPr>
              <w:t>Njësitë</w:t>
            </w:r>
            <w:r w:rsidR="00366043">
              <w:rPr>
                <w:lang w:val="sq-AL"/>
              </w:rPr>
              <w:t xml:space="preserve"> </w:t>
            </w:r>
            <w:r w:rsidRPr="00F97B4B">
              <w:rPr>
                <w:lang w:val="sq-AL"/>
              </w:rPr>
              <w:t>administrative</w:t>
            </w:r>
          </w:p>
        </w:tc>
        <w:tc>
          <w:tcPr>
            <w:tcW w:w="3374" w:type="dxa"/>
            <w:gridSpan w:val="3"/>
            <w:vMerge w:val="restart"/>
            <w:shd w:val="clear" w:color="auto" w:fill="B8DBF1" w:themeFill="accent3" w:themeFillTint="66"/>
            <w:vAlign w:val="bottom"/>
            <w:hideMark/>
          </w:tcPr>
          <w:p w14:paraId="21296AD2" w14:textId="17023DCF" w:rsidR="00527317" w:rsidRPr="00F97B4B" w:rsidRDefault="00527317" w:rsidP="000725DB">
            <w:pPr>
              <w:jc w:val="center"/>
              <w:rPr>
                <w:lang w:val="sq-AL"/>
              </w:rPr>
            </w:pPr>
            <w:r w:rsidRPr="00F97B4B">
              <w:rPr>
                <w:lang w:val="sq-AL"/>
              </w:rPr>
              <w:t>Popullsia e Bashkisë</w:t>
            </w:r>
            <w:r w:rsidR="00AB4D39">
              <w:rPr>
                <w:lang w:val="sq-AL"/>
              </w:rPr>
              <w:t xml:space="preserve"> Puke</w:t>
            </w:r>
            <w:r w:rsidRPr="00F97B4B">
              <w:rPr>
                <w:lang w:val="sq-AL"/>
              </w:rPr>
              <w:t xml:space="preserve">          viti 2020</w:t>
            </w:r>
          </w:p>
        </w:tc>
        <w:tc>
          <w:tcPr>
            <w:tcW w:w="3387" w:type="dxa"/>
            <w:gridSpan w:val="3"/>
            <w:vMerge w:val="restart"/>
            <w:shd w:val="clear" w:color="auto" w:fill="DBEDF8" w:themeFill="accent3" w:themeFillTint="33"/>
            <w:vAlign w:val="bottom"/>
            <w:hideMark/>
          </w:tcPr>
          <w:p w14:paraId="4CF3C511" w14:textId="02A55FE9" w:rsidR="00527317" w:rsidRPr="00F97B4B" w:rsidRDefault="00527317" w:rsidP="000725DB">
            <w:pPr>
              <w:jc w:val="center"/>
              <w:rPr>
                <w:lang w:val="sq-AL"/>
              </w:rPr>
            </w:pPr>
            <w:r w:rsidRPr="00F97B4B">
              <w:rPr>
                <w:lang w:val="sq-AL"/>
              </w:rPr>
              <w:t>Popullsia e Bashkisë</w:t>
            </w:r>
            <w:r w:rsidR="00AB4D39">
              <w:rPr>
                <w:lang w:val="sq-AL"/>
              </w:rPr>
              <w:t xml:space="preserve"> Puke</w:t>
            </w:r>
            <w:r w:rsidRPr="00F97B4B">
              <w:rPr>
                <w:lang w:val="sq-AL"/>
              </w:rPr>
              <w:t xml:space="preserve">              viti 202</w:t>
            </w:r>
            <w:r>
              <w:rPr>
                <w:lang w:val="sq-AL"/>
              </w:rPr>
              <w:t>5</w:t>
            </w:r>
          </w:p>
        </w:tc>
      </w:tr>
      <w:tr w:rsidR="00527317" w:rsidRPr="00F97B4B" w14:paraId="62030B5C" w14:textId="77777777" w:rsidTr="000725DB">
        <w:trPr>
          <w:trHeight w:val="517"/>
        </w:trPr>
        <w:tc>
          <w:tcPr>
            <w:tcW w:w="2448" w:type="dxa"/>
            <w:vMerge/>
            <w:shd w:val="clear" w:color="auto" w:fill="94C9EA" w:themeFill="accent3" w:themeFillTint="99"/>
            <w:vAlign w:val="center"/>
            <w:hideMark/>
          </w:tcPr>
          <w:p w14:paraId="193853C3" w14:textId="77777777" w:rsidR="00527317" w:rsidRPr="00F97B4B" w:rsidRDefault="00527317" w:rsidP="000725DB">
            <w:pPr>
              <w:rPr>
                <w:lang w:val="sq-AL"/>
              </w:rPr>
            </w:pPr>
          </w:p>
        </w:tc>
        <w:tc>
          <w:tcPr>
            <w:tcW w:w="3374" w:type="dxa"/>
            <w:gridSpan w:val="3"/>
            <w:vMerge/>
            <w:shd w:val="clear" w:color="auto" w:fill="B8DBF1" w:themeFill="accent3" w:themeFillTint="66"/>
            <w:vAlign w:val="center"/>
            <w:hideMark/>
          </w:tcPr>
          <w:p w14:paraId="20F22F7E" w14:textId="77777777" w:rsidR="00527317" w:rsidRPr="00F97B4B" w:rsidRDefault="00527317" w:rsidP="000725DB">
            <w:pPr>
              <w:rPr>
                <w:lang w:val="sq-AL"/>
              </w:rPr>
            </w:pPr>
          </w:p>
        </w:tc>
        <w:tc>
          <w:tcPr>
            <w:tcW w:w="3387" w:type="dxa"/>
            <w:gridSpan w:val="3"/>
            <w:vMerge/>
            <w:shd w:val="clear" w:color="auto" w:fill="DBEDF8" w:themeFill="accent3" w:themeFillTint="33"/>
            <w:vAlign w:val="center"/>
            <w:hideMark/>
          </w:tcPr>
          <w:p w14:paraId="0614AB7A" w14:textId="77777777" w:rsidR="00527317" w:rsidRPr="00F97B4B" w:rsidRDefault="00527317" w:rsidP="000725DB">
            <w:pPr>
              <w:rPr>
                <w:lang w:val="sq-AL"/>
              </w:rPr>
            </w:pPr>
          </w:p>
        </w:tc>
      </w:tr>
      <w:tr w:rsidR="00527317" w:rsidRPr="00F97B4B" w14:paraId="1AC5D45F" w14:textId="77777777" w:rsidTr="000725DB">
        <w:trPr>
          <w:trHeight w:val="300"/>
        </w:trPr>
        <w:tc>
          <w:tcPr>
            <w:tcW w:w="2448" w:type="dxa"/>
            <w:vMerge/>
            <w:shd w:val="clear" w:color="auto" w:fill="94C9EA" w:themeFill="accent3" w:themeFillTint="99"/>
            <w:vAlign w:val="center"/>
            <w:hideMark/>
          </w:tcPr>
          <w:p w14:paraId="29D7B06D" w14:textId="77777777" w:rsidR="00527317" w:rsidRPr="00F97B4B" w:rsidRDefault="00527317" w:rsidP="000725DB">
            <w:pPr>
              <w:rPr>
                <w:lang w:val="sq-AL"/>
              </w:rPr>
            </w:pPr>
          </w:p>
        </w:tc>
        <w:tc>
          <w:tcPr>
            <w:tcW w:w="1120" w:type="dxa"/>
            <w:shd w:val="clear" w:color="auto" w:fill="B8DBF1" w:themeFill="accent3" w:themeFillTint="66"/>
            <w:noWrap/>
            <w:vAlign w:val="bottom"/>
            <w:hideMark/>
          </w:tcPr>
          <w:p w14:paraId="5297FD91" w14:textId="77777777" w:rsidR="00527317" w:rsidRPr="00F97B4B" w:rsidRDefault="00527317" w:rsidP="000725DB">
            <w:pPr>
              <w:rPr>
                <w:lang w:val="sq-AL"/>
              </w:rPr>
            </w:pPr>
            <w:r w:rsidRPr="00F97B4B">
              <w:rPr>
                <w:lang w:val="sq-AL"/>
              </w:rPr>
              <w:t>Total</w:t>
            </w:r>
          </w:p>
        </w:tc>
        <w:tc>
          <w:tcPr>
            <w:tcW w:w="1120" w:type="dxa"/>
            <w:shd w:val="clear" w:color="auto" w:fill="B8DBF1" w:themeFill="accent3" w:themeFillTint="66"/>
            <w:noWrap/>
            <w:vAlign w:val="bottom"/>
            <w:hideMark/>
          </w:tcPr>
          <w:p w14:paraId="2BE797D1" w14:textId="77777777" w:rsidR="00527317" w:rsidRPr="00F97B4B" w:rsidRDefault="00527317" w:rsidP="000725DB">
            <w:pPr>
              <w:rPr>
                <w:lang w:val="sq-AL"/>
              </w:rPr>
            </w:pPr>
            <w:r w:rsidRPr="00F97B4B">
              <w:rPr>
                <w:lang w:val="sq-AL"/>
              </w:rPr>
              <w:t>M</w:t>
            </w:r>
          </w:p>
        </w:tc>
        <w:tc>
          <w:tcPr>
            <w:tcW w:w="1134" w:type="dxa"/>
            <w:shd w:val="clear" w:color="auto" w:fill="B8DBF1" w:themeFill="accent3" w:themeFillTint="66"/>
            <w:noWrap/>
            <w:vAlign w:val="bottom"/>
            <w:hideMark/>
          </w:tcPr>
          <w:p w14:paraId="6EB7F53B" w14:textId="77777777" w:rsidR="00527317" w:rsidRPr="00F97B4B" w:rsidRDefault="00527317" w:rsidP="000725DB">
            <w:pPr>
              <w:rPr>
                <w:lang w:val="sq-AL"/>
              </w:rPr>
            </w:pPr>
            <w:r w:rsidRPr="00F97B4B">
              <w:rPr>
                <w:lang w:val="sq-AL"/>
              </w:rPr>
              <w:t>F</w:t>
            </w:r>
          </w:p>
        </w:tc>
        <w:tc>
          <w:tcPr>
            <w:tcW w:w="1120" w:type="dxa"/>
            <w:shd w:val="clear" w:color="auto" w:fill="DBEDF8" w:themeFill="accent3" w:themeFillTint="33"/>
            <w:noWrap/>
            <w:vAlign w:val="bottom"/>
            <w:hideMark/>
          </w:tcPr>
          <w:p w14:paraId="2247BD24" w14:textId="77777777" w:rsidR="00527317" w:rsidRPr="00F97B4B" w:rsidRDefault="00527317" w:rsidP="000725DB">
            <w:pPr>
              <w:rPr>
                <w:lang w:val="sq-AL"/>
              </w:rPr>
            </w:pPr>
            <w:r w:rsidRPr="00F97B4B">
              <w:rPr>
                <w:lang w:val="sq-AL"/>
              </w:rPr>
              <w:t>Total</w:t>
            </w:r>
          </w:p>
        </w:tc>
        <w:tc>
          <w:tcPr>
            <w:tcW w:w="1120" w:type="dxa"/>
            <w:shd w:val="clear" w:color="auto" w:fill="DBEDF8" w:themeFill="accent3" w:themeFillTint="33"/>
            <w:noWrap/>
            <w:vAlign w:val="bottom"/>
            <w:hideMark/>
          </w:tcPr>
          <w:p w14:paraId="352FC65A" w14:textId="77777777" w:rsidR="00527317" w:rsidRPr="00F97B4B" w:rsidRDefault="00527317" w:rsidP="000725DB">
            <w:pPr>
              <w:rPr>
                <w:lang w:val="sq-AL"/>
              </w:rPr>
            </w:pPr>
            <w:r w:rsidRPr="00F97B4B">
              <w:rPr>
                <w:lang w:val="sq-AL"/>
              </w:rPr>
              <w:t>M</w:t>
            </w:r>
          </w:p>
        </w:tc>
        <w:tc>
          <w:tcPr>
            <w:tcW w:w="1147" w:type="dxa"/>
            <w:shd w:val="clear" w:color="auto" w:fill="DBEDF8" w:themeFill="accent3" w:themeFillTint="33"/>
            <w:noWrap/>
            <w:vAlign w:val="bottom"/>
            <w:hideMark/>
          </w:tcPr>
          <w:p w14:paraId="04D92DFC" w14:textId="77777777" w:rsidR="00527317" w:rsidRPr="00F97B4B" w:rsidRDefault="00527317" w:rsidP="000725DB">
            <w:pPr>
              <w:rPr>
                <w:lang w:val="sq-AL"/>
              </w:rPr>
            </w:pPr>
            <w:r w:rsidRPr="00F97B4B">
              <w:rPr>
                <w:lang w:val="sq-AL"/>
              </w:rPr>
              <w:t>F</w:t>
            </w:r>
          </w:p>
        </w:tc>
      </w:tr>
      <w:tr w:rsidR="00527317" w:rsidRPr="00F97B4B" w14:paraId="3D19B879" w14:textId="77777777" w:rsidTr="00366043">
        <w:trPr>
          <w:trHeight w:val="300"/>
        </w:trPr>
        <w:tc>
          <w:tcPr>
            <w:tcW w:w="2448" w:type="dxa"/>
            <w:noWrap/>
            <w:vAlign w:val="bottom"/>
            <w:hideMark/>
          </w:tcPr>
          <w:p w14:paraId="3271005A" w14:textId="2E76072D" w:rsidR="00527317" w:rsidRPr="00F97B4B" w:rsidRDefault="00527317" w:rsidP="000725DB">
            <w:pPr>
              <w:rPr>
                <w:lang w:val="sq-AL"/>
              </w:rPr>
            </w:pPr>
            <w:r w:rsidRPr="00F97B4B">
              <w:rPr>
                <w:lang w:val="sq-AL"/>
              </w:rPr>
              <w:t xml:space="preserve">Njësia administrative </w:t>
            </w:r>
            <w:r w:rsidR="00366043">
              <w:rPr>
                <w:lang w:val="sq-AL"/>
              </w:rPr>
              <w:t>Puke</w:t>
            </w:r>
          </w:p>
        </w:tc>
        <w:tc>
          <w:tcPr>
            <w:tcW w:w="1120" w:type="dxa"/>
            <w:noWrap/>
            <w:vAlign w:val="bottom"/>
          </w:tcPr>
          <w:p w14:paraId="34274D3F" w14:textId="118C9AC8" w:rsidR="00527317" w:rsidRPr="00F97B4B" w:rsidRDefault="00366043" w:rsidP="000725DB">
            <w:pPr>
              <w:rPr>
                <w:lang w:val="sq-AL"/>
              </w:rPr>
            </w:pPr>
            <w:r>
              <w:rPr>
                <w:lang w:val="sq-AL"/>
              </w:rPr>
              <w:t>3109</w:t>
            </w:r>
          </w:p>
        </w:tc>
        <w:tc>
          <w:tcPr>
            <w:tcW w:w="1120" w:type="dxa"/>
            <w:noWrap/>
            <w:vAlign w:val="bottom"/>
          </w:tcPr>
          <w:p w14:paraId="62CB277A" w14:textId="013AB5AE" w:rsidR="00527317" w:rsidRPr="00F97B4B" w:rsidRDefault="00366043" w:rsidP="000725DB">
            <w:pPr>
              <w:rPr>
                <w:lang w:val="sq-AL"/>
              </w:rPr>
            </w:pPr>
            <w:r>
              <w:rPr>
                <w:lang w:val="sq-AL"/>
              </w:rPr>
              <w:t>1582</w:t>
            </w:r>
          </w:p>
        </w:tc>
        <w:tc>
          <w:tcPr>
            <w:tcW w:w="1134" w:type="dxa"/>
            <w:noWrap/>
            <w:vAlign w:val="bottom"/>
          </w:tcPr>
          <w:p w14:paraId="26B65900" w14:textId="22013241" w:rsidR="00527317" w:rsidRPr="00F97B4B" w:rsidRDefault="00366043" w:rsidP="000725DB">
            <w:pPr>
              <w:rPr>
                <w:lang w:val="sq-AL"/>
              </w:rPr>
            </w:pPr>
            <w:r>
              <w:rPr>
                <w:lang w:val="sq-AL"/>
              </w:rPr>
              <w:t>1527</w:t>
            </w:r>
          </w:p>
        </w:tc>
        <w:tc>
          <w:tcPr>
            <w:tcW w:w="1120" w:type="dxa"/>
            <w:noWrap/>
            <w:vAlign w:val="bottom"/>
          </w:tcPr>
          <w:p w14:paraId="3C811B22" w14:textId="41275010" w:rsidR="00527317" w:rsidRPr="00F97B4B" w:rsidRDefault="00CD369B" w:rsidP="000725DB">
            <w:pPr>
              <w:jc w:val="center"/>
              <w:rPr>
                <w:lang w:val="sq-AL"/>
              </w:rPr>
            </w:pPr>
            <w:r>
              <w:rPr>
                <w:lang w:val="sq-AL"/>
              </w:rPr>
              <w:t>2508</w:t>
            </w:r>
          </w:p>
        </w:tc>
        <w:tc>
          <w:tcPr>
            <w:tcW w:w="1120" w:type="dxa"/>
            <w:noWrap/>
            <w:vAlign w:val="bottom"/>
          </w:tcPr>
          <w:p w14:paraId="3FFAC1CA" w14:textId="17EAB409" w:rsidR="00527317" w:rsidRPr="00F97B4B" w:rsidRDefault="00CD369B" w:rsidP="000725DB">
            <w:pPr>
              <w:jc w:val="center"/>
              <w:rPr>
                <w:lang w:val="sq-AL"/>
              </w:rPr>
            </w:pPr>
            <w:r>
              <w:rPr>
                <w:lang w:val="sq-AL"/>
              </w:rPr>
              <w:t>1243</w:t>
            </w:r>
          </w:p>
        </w:tc>
        <w:tc>
          <w:tcPr>
            <w:tcW w:w="1147" w:type="dxa"/>
            <w:noWrap/>
            <w:vAlign w:val="bottom"/>
          </w:tcPr>
          <w:p w14:paraId="11E94571" w14:textId="4072FEDA" w:rsidR="00527317" w:rsidRPr="00F97B4B" w:rsidRDefault="00CD369B" w:rsidP="000725DB">
            <w:pPr>
              <w:jc w:val="center"/>
              <w:rPr>
                <w:lang w:val="sq-AL"/>
              </w:rPr>
            </w:pPr>
            <w:r>
              <w:rPr>
                <w:lang w:val="sq-AL"/>
              </w:rPr>
              <w:t>1265</w:t>
            </w:r>
          </w:p>
        </w:tc>
      </w:tr>
      <w:tr w:rsidR="00527317" w:rsidRPr="00F97B4B" w14:paraId="1590D2FC" w14:textId="77777777" w:rsidTr="00366043">
        <w:trPr>
          <w:trHeight w:val="300"/>
        </w:trPr>
        <w:tc>
          <w:tcPr>
            <w:tcW w:w="2448" w:type="dxa"/>
            <w:noWrap/>
            <w:vAlign w:val="bottom"/>
            <w:hideMark/>
          </w:tcPr>
          <w:p w14:paraId="1EC6CB2F" w14:textId="50212422" w:rsidR="00527317" w:rsidRPr="00F97B4B" w:rsidRDefault="00527317" w:rsidP="000725DB">
            <w:pPr>
              <w:rPr>
                <w:lang w:val="sq-AL"/>
              </w:rPr>
            </w:pPr>
            <w:r w:rsidRPr="00F97B4B">
              <w:rPr>
                <w:lang w:val="sq-AL"/>
              </w:rPr>
              <w:t xml:space="preserve">Njësia administrative </w:t>
            </w:r>
            <w:r w:rsidR="00366043">
              <w:rPr>
                <w:lang w:val="sq-AL"/>
              </w:rPr>
              <w:t>Gjegjan</w:t>
            </w:r>
          </w:p>
        </w:tc>
        <w:tc>
          <w:tcPr>
            <w:tcW w:w="1120" w:type="dxa"/>
            <w:noWrap/>
            <w:vAlign w:val="bottom"/>
          </w:tcPr>
          <w:p w14:paraId="4B6D79A7" w14:textId="2F3920D0" w:rsidR="00527317" w:rsidRPr="00F97B4B" w:rsidRDefault="00A122A3" w:rsidP="000725DB">
            <w:pPr>
              <w:rPr>
                <w:lang w:val="sq-AL"/>
              </w:rPr>
            </w:pPr>
            <w:r>
              <w:rPr>
                <w:lang w:val="sq-AL"/>
              </w:rPr>
              <w:t>3850</w:t>
            </w:r>
          </w:p>
        </w:tc>
        <w:tc>
          <w:tcPr>
            <w:tcW w:w="1120" w:type="dxa"/>
            <w:noWrap/>
            <w:vAlign w:val="bottom"/>
          </w:tcPr>
          <w:p w14:paraId="41E0E29F" w14:textId="2A1FE820" w:rsidR="00527317" w:rsidRPr="00F97B4B" w:rsidRDefault="00A122A3" w:rsidP="000725DB">
            <w:pPr>
              <w:rPr>
                <w:lang w:val="sq-AL"/>
              </w:rPr>
            </w:pPr>
            <w:r>
              <w:rPr>
                <w:lang w:val="sq-AL"/>
              </w:rPr>
              <w:t>1955</w:t>
            </w:r>
          </w:p>
        </w:tc>
        <w:tc>
          <w:tcPr>
            <w:tcW w:w="1134" w:type="dxa"/>
            <w:noWrap/>
            <w:vAlign w:val="bottom"/>
          </w:tcPr>
          <w:p w14:paraId="6B62B744" w14:textId="00AEEA52" w:rsidR="00527317" w:rsidRPr="00F97B4B" w:rsidRDefault="00A122A3" w:rsidP="000725DB">
            <w:pPr>
              <w:rPr>
                <w:lang w:val="sq-AL"/>
              </w:rPr>
            </w:pPr>
            <w:r>
              <w:rPr>
                <w:lang w:val="sq-AL"/>
              </w:rPr>
              <w:t>1895</w:t>
            </w:r>
          </w:p>
        </w:tc>
        <w:tc>
          <w:tcPr>
            <w:tcW w:w="1120" w:type="dxa"/>
            <w:noWrap/>
            <w:vAlign w:val="bottom"/>
          </w:tcPr>
          <w:p w14:paraId="451D8CCF" w14:textId="34F12B3A" w:rsidR="00527317" w:rsidRPr="00F97B4B" w:rsidRDefault="00CD369B" w:rsidP="000725DB">
            <w:pPr>
              <w:jc w:val="center"/>
              <w:rPr>
                <w:lang w:val="sq-AL"/>
              </w:rPr>
            </w:pPr>
            <w:r>
              <w:rPr>
                <w:lang w:val="sq-AL"/>
              </w:rPr>
              <w:t>1421</w:t>
            </w:r>
          </w:p>
        </w:tc>
        <w:tc>
          <w:tcPr>
            <w:tcW w:w="1120" w:type="dxa"/>
            <w:noWrap/>
            <w:vAlign w:val="bottom"/>
          </w:tcPr>
          <w:p w14:paraId="19AFCAA0" w14:textId="36FC4CD1" w:rsidR="00527317" w:rsidRPr="00F97B4B" w:rsidRDefault="00CD369B" w:rsidP="000725DB">
            <w:pPr>
              <w:jc w:val="center"/>
              <w:rPr>
                <w:lang w:val="sq-AL"/>
              </w:rPr>
            </w:pPr>
            <w:r>
              <w:rPr>
                <w:lang w:val="sq-AL"/>
              </w:rPr>
              <w:t>726</w:t>
            </w:r>
          </w:p>
        </w:tc>
        <w:tc>
          <w:tcPr>
            <w:tcW w:w="1147" w:type="dxa"/>
            <w:noWrap/>
            <w:vAlign w:val="bottom"/>
          </w:tcPr>
          <w:p w14:paraId="07FD2569" w14:textId="15B97117" w:rsidR="00527317" w:rsidRPr="00F97B4B" w:rsidRDefault="00CD369B" w:rsidP="000725DB">
            <w:pPr>
              <w:jc w:val="center"/>
              <w:rPr>
                <w:lang w:val="sq-AL"/>
              </w:rPr>
            </w:pPr>
            <w:r>
              <w:rPr>
                <w:lang w:val="sq-AL"/>
              </w:rPr>
              <w:t>698</w:t>
            </w:r>
          </w:p>
        </w:tc>
      </w:tr>
      <w:tr w:rsidR="00366043" w:rsidRPr="00F97B4B" w14:paraId="1EDBB3A3" w14:textId="77777777" w:rsidTr="000725DB">
        <w:trPr>
          <w:trHeight w:val="300"/>
        </w:trPr>
        <w:tc>
          <w:tcPr>
            <w:tcW w:w="2448" w:type="dxa"/>
            <w:noWrap/>
            <w:vAlign w:val="bottom"/>
          </w:tcPr>
          <w:p w14:paraId="22DF4C67" w14:textId="741467C0" w:rsidR="00366043" w:rsidRPr="00F97B4B" w:rsidRDefault="00366043" w:rsidP="000725DB">
            <w:pPr>
              <w:rPr>
                <w:lang w:val="sq-AL"/>
              </w:rPr>
            </w:pPr>
            <w:r w:rsidRPr="00F97B4B">
              <w:rPr>
                <w:lang w:val="sq-AL"/>
              </w:rPr>
              <w:t xml:space="preserve">Njësia administrative </w:t>
            </w:r>
            <w:r>
              <w:rPr>
                <w:lang w:val="sq-AL"/>
              </w:rPr>
              <w:t>Rrape</w:t>
            </w:r>
          </w:p>
        </w:tc>
        <w:tc>
          <w:tcPr>
            <w:tcW w:w="1120" w:type="dxa"/>
            <w:noWrap/>
            <w:vAlign w:val="bottom"/>
          </w:tcPr>
          <w:p w14:paraId="6B82E1F5" w14:textId="6102924C" w:rsidR="00366043" w:rsidRPr="00F97B4B" w:rsidRDefault="00A122A3" w:rsidP="000725DB">
            <w:pPr>
              <w:rPr>
                <w:color w:val="222222"/>
                <w:sz w:val="20"/>
                <w:szCs w:val="20"/>
              </w:rPr>
            </w:pPr>
            <w:r>
              <w:rPr>
                <w:color w:val="222222"/>
                <w:sz w:val="20"/>
                <w:szCs w:val="20"/>
              </w:rPr>
              <w:t>2980</w:t>
            </w:r>
          </w:p>
        </w:tc>
        <w:tc>
          <w:tcPr>
            <w:tcW w:w="1120" w:type="dxa"/>
            <w:noWrap/>
            <w:vAlign w:val="bottom"/>
          </w:tcPr>
          <w:p w14:paraId="17236C57" w14:textId="279CF5A4" w:rsidR="00366043" w:rsidRPr="00F97B4B" w:rsidRDefault="00A122A3" w:rsidP="000725DB">
            <w:pPr>
              <w:rPr>
                <w:color w:val="000000"/>
                <w:sz w:val="22"/>
                <w:szCs w:val="22"/>
              </w:rPr>
            </w:pPr>
            <w:r>
              <w:rPr>
                <w:color w:val="000000"/>
                <w:sz w:val="22"/>
                <w:szCs w:val="22"/>
              </w:rPr>
              <w:t>1515</w:t>
            </w:r>
          </w:p>
        </w:tc>
        <w:tc>
          <w:tcPr>
            <w:tcW w:w="1134" w:type="dxa"/>
            <w:noWrap/>
            <w:vAlign w:val="bottom"/>
          </w:tcPr>
          <w:p w14:paraId="450014A8" w14:textId="641A8033" w:rsidR="00366043" w:rsidRPr="00F97B4B" w:rsidRDefault="00A122A3" w:rsidP="000725DB">
            <w:pPr>
              <w:rPr>
                <w:color w:val="000000"/>
                <w:sz w:val="22"/>
                <w:szCs w:val="22"/>
              </w:rPr>
            </w:pPr>
            <w:r>
              <w:rPr>
                <w:color w:val="000000"/>
                <w:sz w:val="22"/>
                <w:szCs w:val="22"/>
              </w:rPr>
              <w:t>1465</w:t>
            </w:r>
          </w:p>
        </w:tc>
        <w:tc>
          <w:tcPr>
            <w:tcW w:w="1120" w:type="dxa"/>
            <w:noWrap/>
            <w:vAlign w:val="bottom"/>
          </w:tcPr>
          <w:p w14:paraId="2F253CB6" w14:textId="37FF5234" w:rsidR="00366043" w:rsidRPr="00F97B4B" w:rsidRDefault="00CD369B" w:rsidP="000725DB">
            <w:pPr>
              <w:jc w:val="center"/>
              <w:rPr>
                <w:color w:val="000000"/>
                <w:sz w:val="22"/>
                <w:szCs w:val="22"/>
              </w:rPr>
            </w:pPr>
            <w:r>
              <w:rPr>
                <w:color w:val="000000"/>
                <w:sz w:val="22"/>
                <w:szCs w:val="22"/>
              </w:rPr>
              <w:t>724</w:t>
            </w:r>
          </w:p>
        </w:tc>
        <w:tc>
          <w:tcPr>
            <w:tcW w:w="1120" w:type="dxa"/>
            <w:noWrap/>
            <w:vAlign w:val="bottom"/>
          </w:tcPr>
          <w:p w14:paraId="4296D720" w14:textId="2D99B27F" w:rsidR="00366043" w:rsidRPr="00F97B4B" w:rsidRDefault="00CD369B" w:rsidP="000725DB">
            <w:pPr>
              <w:jc w:val="center"/>
              <w:rPr>
                <w:color w:val="000000"/>
                <w:sz w:val="22"/>
                <w:szCs w:val="22"/>
              </w:rPr>
            </w:pPr>
            <w:r>
              <w:rPr>
                <w:color w:val="000000"/>
                <w:sz w:val="22"/>
                <w:szCs w:val="22"/>
              </w:rPr>
              <w:t>398</w:t>
            </w:r>
          </w:p>
        </w:tc>
        <w:tc>
          <w:tcPr>
            <w:tcW w:w="1147" w:type="dxa"/>
            <w:noWrap/>
            <w:vAlign w:val="bottom"/>
          </w:tcPr>
          <w:p w14:paraId="2FC7CBA1" w14:textId="0D3C869F" w:rsidR="00366043" w:rsidRPr="00F97B4B" w:rsidRDefault="00CD369B" w:rsidP="000725DB">
            <w:pPr>
              <w:jc w:val="center"/>
              <w:rPr>
                <w:color w:val="000000"/>
                <w:sz w:val="22"/>
                <w:szCs w:val="22"/>
              </w:rPr>
            </w:pPr>
            <w:r>
              <w:rPr>
                <w:color w:val="000000"/>
                <w:sz w:val="22"/>
                <w:szCs w:val="22"/>
              </w:rPr>
              <w:t>326</w:t>
            </w:r>
          </w:p>
        </w:tc>
      </w:tr>
      <w:tr w:rsidR="00366043" w:rsidRPr="00F97B4B" w14:paraId="0A501420" w14:textId="77777777" w:rsidTr="00366043">
        <w:trPr>
          <w:trHeight w:val="300"/>
        </w:trPr>
        <w:tc>
          <w:tcPr>
            <w:tcW w:w="2448" w:type="dxa"/>
            <w:noWrap/>
            <w:vAlign w:val="bottom"/>
            <w:hideMark/>
          </w:tcPr>
          <w:p w14:paraId="6FFADCF8" w14:textId="1EE133F9" w:rsidR="00366043" w:rsidRPr="00F97B4B" w:rsidRDefault="00366043" w:rsidP="00366043">
            <w:pPr>
              <w:rPr>
                <w:lang w:val="sq-AL"/>
              </w:rPr>
            </w:pPr>
            <w:r w:rsidRPr="00F97B4B">
              <w:rPr>
                <w:lang w:val="sq-AL"/>
              </w:rPr>
              <w:t xml:space="preserve">Njësia administrative </w:t>
            </w:r>
            <w:r>
              <w:rPr>
                <w:lang w:val="sq-AL"/>
              </w:rPr>
              <w:t>Qelez</w:t>
            </w:r>
          </w:p>
        </w:tc>
        <w:tc>
          <w:tcPr>
            <w:tcW w:w="1120" w:type="dxa"/>
            <w:noWrap/>
            <w:vAlign w:val="bottom"/>
          </w:tcPr>
          <w:p w14:paraId="05FC049E" w14:textId="57B5AFDF" w:rsidR="00366043" w:rsidRPr="00F97B4B" w:rsidRDefault="00A122A3" w:rsidP="00366043">
            <w:pPr>
              <w:rPr>
                <w:lang w:val="sq-AL"/>
              </w:rPr>
            </w:pPr>
            <w:r>
              <w:rPr>
                <w:lang w:val="sq-AL"/>
              </w:rPr>
              <w:t>2540</w:t>
            </w:r>
          </w:p>
        </w:tc>
        <w:tc>
          <w:tcPr>
            <w:tcW w:w="1120" w:type="dxa"/>
            <w:noWrap/>
            <w:vAlign w:val="bottom"/>
          </w:tcPr>
          <w:p w14:paraId="3049D1E1" w14:textId="2A0EEC72" w:rsidR="00366043" w:rsidRPr="00F97B4B" w:rsidRDefault="00A122A3" w:rsidP="00366043">
            <w:pPr>
              <w:rPr>
                <w:lang w:val="sq-AL"/>
              </w:rPr>
            </w:pPr>
            <w:r>
              <w:rPr>
                <w:lang w:val="sq-AL"/>
              </w:rPr>
              <w:t>1295</w:t>
            </w:r>
          </w:p>
        </w:tc>
        <w:tc>
          <w:tcPr>
            <w:tcW w:w="1134" w:type="dxa"/>
            <w:noWrap/>
            <w:vAlign w:val="bottom"/>
          </w:tcPr>
          <w:p w14:paraId="1B056C39" w14:textId="6535E596" w:rsidR="00366043" w:rsidRPr="00F97B4B" w:rsidRDefault="00A122A3" w:rsidP="00366043">
            <w:pPr>
              <w:rPr>
                <w:lang w:val="sq-AL"/>
              </w:rPr>
            </w:pPr>
            <w:r>
              <w:rPr>
                <w:lang w:val="sq-AL"/>
              </w:rPr>
              <w:t>1245</w:t>
            </w:r>
          </w:p>
        </w:tc>
        <w:tc>
          <w:tcPr>
            <w:tcW w:w="1120" w:type="dxa"/>
            <w:noWrap/>
            <w:vAlign w:val="bottom"/>
          </w:tcPr>
          <w:p w14:paraId="3A15851F" w14:textId="683D9F10" w:rsidR="00366043" w:rsidRPr="00F97B4B" w:rsidRDefault="00CD369B" w:rsidP="00366043">
            <w:pPr>
              <w:jc w:val="center"/>
              <w:rPr>
                <w:lang w:val="sq-AL"/>
              </w:rPr>
            </w:pPr>
            <w:r>
              <w:rPr>
                <w:lang w:val="sq-AL"/>
              </w:rPr>
              <w:t>882</w:t>
            </w:r>
          </w:p>
        </w:tc>
        <w:tc>
          <w:tcPr>
            <w:tcW w:w="1120" w:type="dxa"/>
            <w:noWrap/>
            <w:vAlign w:val="bottom"/>
          </w:tcPr>
          <w:p w14:paraId="66A0DBDD" w14:textId="2B1ADEB4" w:rsidR="00366043" w:rsidRPr="00F97B4B" w:rsidRDefault="00CD369B" w:rsidP="00366043">
            <w:pPr>
              <w:jc w:val="center"/>
              <w:rPr>
                <w:lang w:val="sq-AL"/>
              </w:rPr>
            </w:pPr>
            <w:r>
              <w:rPr>
                <w:lang w:val="sq-AL"/>
              </w:rPr>
              <w:t>445</w:t>
            </w:r>
          </w:p>
        </w:tc>
        <w:tc>
          <w:tcPr>
            <w:tcW w:w="1147" w:type="dxa"/>
            <w:noWrap/>
            <w:vAlign w:val="bottom"/>
          </w:tcPr>
          <w:p w14:paraId="441F92D0" w14:textId="1871BC1E" w:rsidR="00366043" w:rsidRPr="00F97B4B" w:rsidRDefault="00CD369B" w:rsidP="00366043">
            <w:pPr>
              <w:jc w:val="center"/>
              <w:rPr>
                <w:lang w:val="sq-AL"/>
              </w:rPr>
            </w:pPr>
            <w:r>
              <w:rPr>
                <w:lang w:val="sq-AL"/>
              </w:rPr>
              <w:t>437</w:t>
            </w:r>
          </w:p>
        </w:tc>
      </w:tr>
      <w:tr w:rsidR="00366043" w:rsidRPr="00F97B4B" w14:paraId="50A789DF" w14:textId="77777777" w:rsidTr="00366043">
        <w:trPr>
          <w:trHeight w:val="300"/>
        </w:trPr>
        <w:tc>
          <w:tcPr>
            <w:tcW w:w="2448" w:type="dxa"/>
            <w:noWrap/>
            <w:vAlign w:val="bottom"/>
            <w:hideMark/>
          </w:tcPr>
          <w:p w14:paraId="3D20CBF1" w14:textId="41D75486" w:rsidR="00366043" w:rsidRPr="00F97B4B" w:rsidRDefault="00366043" w:rsidP="00366043">
            <w:pPr>
              <w:rPr>
                <w:lang w:val="sq-AL"/>
              </w:rPr>
            </w:pPr>
            <w:r w:rsidRPr="00F97B4B">
              <w:rPr>
                <w:lang w:val="sq-AL"/>
              </w:rPr>
              <w:t xml:space="preserve">Njësia administrative </w:t>
            </w:r>
            <w:r>
              <w:rPr>
                <w:lang w:val="sq-AL"/>
              </w:rPr>
              <w:t>Qerret</w:t>
            </w:r>
          </w:p>
        </w:tc>
        <w:tc>
          <w:tcPr>
            <w:tcW w:w="1120" w:type="dxa"/>
            <w:noWrap/>
            <w:vAlign w:val="bottom"/>
          </w:tcPr>
          <w:p w14:paraId="2E3CBEDC" w14:textId="4EB0D42D" w:rsidR="00366043" w:rsidRPr="00F97B4B" w:rsidRDefault="00A122A3" w:rsidP="00366043">
            <w:pPr>
              <w:rPr>
                <w:lang w:val="sq-AL"/>
              </w:rPr>
            </w:pPr>
            <w:r>
              <w:rPr>
                <w:lang w:val="sq-AL"/>
              </w:rPr>
              <w:t>3420</w:t>
            </w:r>
          </w:p>
        </w:tc>
        <w:tc>
          <w:tcPr>
            <w:tcW w:w="1120" w:type="dxa"/>
            <w:noWrap/>
            <w:vAlign w:val="bottom"/>
          </w:tcPr>
          <w:p w14:paraId="6B72BD62" w14:textId="53EF88DE" w:rsidR="00366043" w:rsidRPr="00F97B4B" w:rsidRDefault="00A122A3" w:rsidP="00366043">
            <w:pPr>
              <w:rPr>
                <w:lang w:val="sq-AL"/>
              </w:rPr>
            </w:pPr>
            <w:r>
              <w:rPr>
                <w:lang w:val="sq-AL"/>
              </w:rPr>
              <w:t>1740</w:t>
            </w:r>
          </w:p>
        </w:tc>
        <w:tc>
          <w:tcPr>
            <w:tcW w:w="1134" w:type="dxa"/>
            <w:noWrap/>
            <w:vAlign w:val="bottom"/>
          </w:tcPr>
          <w:p w14:paraId="2BD85309" w14:textId="26A080E0" w:rsidR="00366043" w:rsidRPr="00F97B4B" w:rsidRDefault="00A122A3" w:rsidP="00366043">
            <w:pPr>
              <w:rPr>
                <w:lang w:val="sq-AL"/>
              </w:rPr>
            </w:pPr>
            <w:r>
              <w:rPr>
                <w:lang w:val="sq-AL"/>
              </w:rPr>
              <w:t>1680</w:t>
            </w:r>
          </w:p>
        </w:tc>
        <w:tc>
          <w:tcPr>
            <w:tcW w:w="1120" w:type="dxa"/>
            <w:noWrap/>
            <w:vAlign w:val="bottom"/>
          </w:tcPr>
          <w:p w14:paraId="24F6529E" w14:textId="38ABA1AA" w:rsidR="00366043" w:rsidRPr="00F97B4B" w:rsidRDefault="00CD369B" w:rsidP="00366043">
            <w:pPr>
              <w:jc w:val="center"/>
              <w:rPr>
                <w:lang w:val="sq-AL"/>
              </w:rPr>
            </w:pPr>
            <w:r>
              <w:rPr>
                <w:lang w:val="sq-AL"/>
              </w:rPr>
              <w:t>687</w:t>
            </w:r>
          </w:p>
        </w:tc>
        <w:tc>
          <w:tcPr>
            <w:tcW w:w="1120" w:type="dxa"/>
            <w:noWrap/>
            <w:vAlign w:val="bottom"/>
          </w:tcPr>
          <w:p w14:paraId="18CC42C7" w14:textId="40584DD0" w:rsidR="00366043" w:rsidRPr="00F97B4B" w:rsidRDefault="00CD369B" w:rsidP="00366043">
            <w:pPr>
              <w:jc w:val="center"/>
              <w:rPr>
                <w:lang w:val="sq-AL"/>
              </w:rPr>
            </w:pPr>
            <w:r>
              <w:rPr>
                <w:lang w:val="sq-AL"/>
              </w:rPr>
              <w:t>350</w:t>
            </w:r>
          </w:p>
        </w:tc>
        <w:tc>
          <w:tcPr>
            <w:tcW w:w="1147" w:type="dxa"/>
            <w:noWrap/>
            <w:vAlign w:val="bottom"/>
          </w:tcPr>
          <w:p w14:paraId="6F2A9BCA" w14:textId="3240E966" w:rsidR="00366043" w:rsidRPr="00F97B4B" w:rsidRDefault="00CD369B" w:rsidP="00366043">
            <w:pPr>
              <w:jc w:val="center"/>
              <w:rPr>
                <w:lang w:val="sq-AL"/>
              </w:rPr>
            </w:pPr>
            <w:r>
              <w:rPr>
                <w:lang w:val="sq-AL"/>
              </w:rPr>
              <w:t>337</w:t>
            </w:r>
          </w:p>
        </w:tc>
      </w:tr>
      <w:tr w:rsidR="00366043" w:rsidRPr="00F97B4B" w14:paraId="430F69AC" w14:textId="77777777" w:rsidTr="00366043">
        <w:trPr>
          <w:trHeight w:val="330"/>
        </w:trPr>
        <w:tc>
          <w:tcPr>
            <w:tcW w:w="2448" w:type="dxa"/>
            <w:shd w:val="clear" w:color="000000" w:fill="E7E6E6"/>
            <w:noWrap/>
            <w:vAlign w:val="bottom"/>
            <w:hideMark/>
          </w:tcPr>
          <w:p w14:paraId="466102A8" w14:textId="77777777" w:rsidR="00366043" w:rsidRPr="00F97B4B" w:rsidRDefault="00366043" w:rsidP="00366043">
            <w:pPr>
              <w:rPr>
                <w:b/>
                <w:bCs/>
                <w:lang w:val="sq-AL"/>
              </w:rPr>
            </w:pPr>
            <w:r w:rsidRPr="00F97B4B">
              <w:rPr>
                <w:b/>
                <w:bCs/>
                <w:lang w:val="sq-AL"/>
              </w:rPr>
              <w:t>Total</w:t>
            </w:r>
          </w:p>
        </w:tc>
        <w:tc>
          <w:tcPr>
            <w:tcW w:w="1120" w:type="dxa"/>
            <w:shd w:val="clear" w:color="000000" w:fill="E7E6E6"/>
            <w:noWrap/>
            <w:vAlign w:val="bottom"/>
          </w:tcPr>
          <w:p w14:paraId="12AFCE49" w14:textId="2897B487" w:rsidR="00366043" w:rsidRPr="00F97B4B" w:rsidRDefault="00A122A3" w:rsidP="00366043">
            <w:pPr>
              <w:rPr>
                <w:b/>
                <w:bCs/>
                <w:lang w:val="sq-AL"/>
              </w:rPr>
            </w:pPr>
            <w:r>
              <w:rPr>
                <w:b/>
                <w:bCs/>
                <w:lang w:val="sq-AL"/>
              </w:rPr>
              <w:t>15899</w:t>
            </w:r>
          </w:p>
        </w:tc>
        <w:tc>
          <w:tcPr>
            <w:tcW w:w="1120" w:type="dxa"/>
            <w:shd w:val="clear" w:color="000000" w:fill="E7E6E6"/>
            <w:noWrap/>
            <w:vAlign w:val="bottom"/>
          </w:tcPr>
          <w:p w14:paraId="7D898588" w14:textId="21FD0793" w:rsidR="00366043" w:rsidRPr="00F97B4B" w:rsidRDefault="00A122A3" w:rsidP="00366043">
            <w:pPr>
              <w:rPr>
                <w:b/>
                <w:bCs/>
                <w:lang w:val="sq-AL"/>
              </w:rPr>
            </w:pPr>
            <w:r>
              <w:rPr>
                <w:b/>
                <w:bCs/>
                <w:lang w:val="sq-AL"/>
              </w:rPr>
              <w:t>8087</w:t>
            </w:r>
          </w:p>
        </w:tc>
        <w:tc>
          <w:tcPr>
            <w:tcW w:w="1134" w:type="dxa"/>
            <w:shd w:val="clear" w:color="000000" w:fill="E7E6E6"/>
            <w:noWrap/>
            <w:vAlign w:val="bottom"/>
          </w:tcPr>
          <w:p w14:paraId="1FD4A965" w14:textId="1D94D941" w:rsidR="00366043" w:rsidRPr="00F97B4B" w:rsidRDefault="00A122A3" w:rsidP="00366043">
            <w:pPr>
              <w:rPr>
                <w:b/>
                <w:bCs/>
                <w:lang w:val="sq-AL"/>
              </w:rPr>
            </w:pPr>
            <w:r>
              <w:rPr>
                <w:b/>
                <w:bCs/>
                <w:lang w:val="sq-AL"/>
              </w:rPr>
              <w:t>7812</w:t>
            </w:r>
          </w:p>
        </w:tc>
        <w:tc>
          <w:tcPr>
            <w:tcW w:w="1120" w:type="dxa"/>
            <w:shd w:val="clear" w:color="000000" w:fill="E7E6E6"/>
            <w:noWrap/>
            <w:vAlign w:val="bottom"/>
          </w:tcPr>
          <w:p w14:paraId="3C734C40" w14:textId="25703BD8" w:rsidR="00366043" w:rsidRPr="00F97B4B" w:rsidRDefault="00CD369B" w:rsidP="00366043">
            <w:pPr>
              <w:jc w:val="center"/>
              <w:rPr>
                <w:b/>
                <w:bCs/>
                <w:lang w:val="sq-AL"/>
              </w:rPr>
            </w:pPr>
            <w:r>
              <w:rPr>
                <w:b/>
                <w:bCs/>
                <w:lang w:val="sq-AL"/>
              </w:rPr>
              <w:t>6222</w:t>
            </w:r>
          </w:p>
        </w:tc>
        <w:tc>
          <w:tcPr>
            <w:tcW w:w="1120" w:type="dxa"/>
            <w:shd w:val="clear" w:color="000000" w:fill="E7E6E6"/>
            <w:noWrap/>
            <w:vAlign w:val="bottom"/>
          </w:tcPr>
          <w:p w14:paraId="2E4114CF" w14:textId="43F5D73B" w:rsidR="00366043" w:rsidRPr="00F97B4B" w:rsidRDefault="00CD369B" w:rsidP="00366043">
            <w:pPr>
              <w:jc w:val="center"/>
              <w:rPr>
                <w:b/>
                <w:bCs/>
                <w:lang w:val="sq-AL"/>
              </w:rPr>
            </w:pPr>
            <w:r>
              <w:rPr>
                <w:b/>
                <w:bCs/>
                <w:lang w:val="sq-AL"/>
              </w:rPr>
              <w:t>3159</w:t>
            </w:r>
          </w:p>
        </w:tc>
        <w:tc>
          <w:tcPr>
            <w:tcW w:w="1147" w:type="dxa"/>
            <w:shd w:val="clear" w:color="000000" w:fill="E7E6E6"/>
            <w:noWrap/>
            <w:vAlign w:val="bottom"/>
          </w:tcPr>
          <w:p w14:paraId="11C80FB6" w14:textId="0E6A023F" w:rsidR="00366043" w:rsidRPr="00F97B4B" w:rsidRDefault="00CD369B" w:rsidP="00366043">
            <w:pPr>
              <w:jc w:val="center"/>
              <w:rPr>
                <w:b/>
                <w:bCs/>
                <w:lang w:val="sq-AL"/>
              </w:rPr>
            </w:pPr>
            <w:r>
              <w:rPr>
                <w:b/>
                <w:bCs/>
                <w:lang w:val="sq-AL"/>
              </w:rPr>
              <w:t>3063</w:t>
            </w:r>
          </w:p>
        </w:tc>
      </w:tr>
    </w:tbl>
    <w:p w14:paraId="132C745B" w14:textId="77777777" w:rsidR="00A33A43" w:rsidRDefault="00A33A43" w:rsidP="00A33A43"/>
    <w:p w14:paraId="055821DB" w14:textId="7E708361" w:rsidR="00A652F9" w:rsidRDefault="00A652F9" w:rsidP="00A652F9">
      <w:pPr>
        <w:pStyle w:val="ListParagraph"/>
        <w:numPr>
          <w:ilvl w:val="0"/>
          <w:numId w:val="4"/>
        </w:numPr>
      </w:pPr>
      <w:r>
        <w:t>Njesite me popullsine</w:t>
      </w:r>
      <w:r w:rsidR="00097E7D">
        <w:t xml:space="preserve"> me </w:t>
      </w:r>
      <w:r w:rsidR="00641F88">
        <w:t xml:space="preserve">te madhe </w:t>
      </w:r>
      <w:r w:rsidR="00097E7D">
        <w:t>jane</w:t>
      </w:r>
      <w:r w:rsidR="00641F88">
        <w:t xml:space="preserve"> Puke ,</w:t>
      </w:r>
      <w:r w:rsidR="00097E7D">
        <w:t xml:space="preserve"> Gjegjani dhe Qe</w:t>
      </w:r>
      <w:r w:rsidR="00641F88">
        <w:t>leza</w:t>
      </w:r>
    </w:p>
    <w:p w14:paraId="42E17BA2" w14:textId="707EF968" w:rsidR="0066118B" w:rsidRDefault="009E7B0B" w:rsidP="0066118B">
      <w:pPr>
        <w:pStyle w:val="ListParagraph"/>
        <w:numPr>
          <w:ilvl w:val="0"/>
          <w:numId w:val="4"/>
        </w:numPr>
      </w:pPr>
      <w:r>
        <w:t>Analiza e te dhenave tregon se ne nivel bashkie ekziston nje ekuiliber I pergjithshem gjinor.Megjithate,verehen dallime te vogla ndermjet njesive administrative,ku ne Njesi</w:t>
      </w:r>
      <w:r w:rsidR="004B5F53">
        <w:t>ne Administrative Puke numri I femrave eshte pak me I larte se ai I meshkujve,nde</w:t>
      </w:r>
      <w:r w:rsidR="0066118B">
        <w:t>rsa ne njesite e tjera mbizoterojne lehtesisht meshkujt.</w:t>
      </w:r>
    </w:p>
    <w:p w14:paraId="3D472013" w14:textId="70349FB3" w:rsidR="00641F88" w:rsidRDefault="00641F88" w:rsidP="00A652F9">
      <w:pPr>
        <w:pStyle w:val="ListParagraph"/>
        <w:numPr>
          <w:ilvl w:val="0"/>
          <w:numId w:val="4"/>
        </w:numPr>
      </w:pPr>
      <w:r>
        <w:t xml:space="preserve">Struktura e popullsise se Bashkise Puke sipas gjinise paraqet nje shperndarje pothuajse te barabarte </w:t>
      </w:r>
      <w:r w:rsidR="009E7B0B">
        <w:t>ndermjet meshkujve dhe femrave.Meshkujt perbejne 50.8% te popullsise,ndersa femrat 49.2%.</w:t>
      </w:r>
    </w:p>
    <w:p w14:paraId="1621AC62" w14:textId="135DDD72" w:rsidR="00097E7D" w:rsidRDefault="00097E7D" w:rsidP="00A652F9">
      <w:pPr>
        <w:pStyle w:val="ListParagraph"/>
        <w:numPr>
          <w:ilvl w:val="0"/>
          <w:numId w:val="4"/>
        </w:numPr>
      </w:pPr>
      <w:r>
        <w:t>Zonat rurale kane tendence me te larte emigrimi te meshkujve ne moshe aktive</w:t>
      </w:r>
    </w:p>
    <w:p w14:paraId="7D173464" w14:textId="77777777" w:rsidR="00097E7D" w:rsidRDefault="00097E7D" w:rsidP="00A652F9">
      <w:pPr>
        <w:pStyle w:val="ListParagraph"/>
        <w:numPr>
          <w:ilvl w:val="0"/>
          <w:numId w:val="4"/>
        </w:numPr>
      </w:pPr>
      <w:r>
        <w:lastRenderedPageBreak/>
        <w:t>Grate ne zonat rurale mbajne rolte rendesishem ne ekonomine familjare dhe bujqesi.</w:t>
      </w:r>
    </w:p>
    <w:p w14:paraId="549818C9" w14:textId="23E3EF55" w:rsidR="00097E7D" w:rsidRPr="00A33A43" w:rsidRDefault="00097E7D" w:rsidP="00A652F9">
      <w:pPr>
        <w:pStyle w:val="ListParagraph"/>
        <w:numPr>
          <w:ilvl w:val="0"/>
          <w:numId w:val="4"/>
        </w:numPr>
      </w:pPr>
      <w:r>
        <w:t xml:space="preserve">Vihet re  plakje te popullsise veqnarisht ne njesite Qelez dhe Rrape. </w:t>
      </w:r>
      <w:r w:rsidR="000734E1">
        <w:t>Keto te dhena jane sipas Instatit.</w:t>
      </w:r>
    </w:p>
    <w:p w14:paraId="1C3180F7" w14:textId="09951FD6" w:rsidR="0089603C" w:rsidRDefault="0089603C" w:rsidP="00527317">
      <w:pPr>
        <w:spacing w:before="120" w:after="120"/>
        <w:jc w:val="both"/>
        <w:rPr>
          <w:b/>
          <w:bCs/>
          <w:lang w:val="sq-AL"/>
        </w:rPr>
      </w:pPr>
      <w:r>
        <w:rPr>
          <w:b/>
          <w:bCs/>
          <w:lang w:val="sq-AL"/>
        </w:rPr>
        <w:t xml:space="preserve">                                         Bashkia Puke 2025</w:t>
      </w:r>
    </w:p>
    <w:p w14:paraId="55FC304C" w14:textId="0C87848C" w:rsidR="00457E5F" w:rsidRDefault="0089603C" w:rsidP="00527317">
      <w:pPr>
        <w:spacing w:before="120" w:after="120"/>
        <w:jc w:val="both"/>
        <w:rPr>
          <w:b/>
          <w:bCs/>
          <w:lang w:val="sq-AL"/>
        </w:rPr>
      </w:pPr>
      <w:r>
        <w:rPr>
          <w:b/>
          <w:bCs/>
          <w:lang w:val="sq-AL"/>
        </w:rPr>
        <w:t xml:space="preserve">                                            </w:t>
      </w:r>
      <w:r w:rsidR="00457E5F">
        <w:rPr>
          <w:b/>
          <w:bCs/>
          <w:lang w:val="sq-AL"/>
        </w:rPr>
        <w:t xml:space="preserve">Grupmosha             </w:t>
      </w:r>
      <w:r>
        <w:rPr>
          <w:b/>
          <w:bCs/>
          <w:lang w:val="sq-AL"/>
        </w:rPr>
        <w:t xml:space="preserve">                     </w:t>
      </w:r>
    </w:p>
    <w:p w14:paraId="7748CB87" w14:textId="5E398C65" w:rsidR="00457E5F" w:rsidRDefault="0089603C" w:rsidP="00527317">
      <w:pPr>
        <w:spacing w:before="120" w:after="120"/>
        <w:jc w:val="both"/>
        <w:rPr>
          <w:b/>
          <w:bCs/>
          <w:lang w:val="sq-AL"/>
        </w:rPr>
      </w:pPr>
      <w:r>
        <w:rPr>
          <w:b/>
          <w:bCs/>
          <w:lang w:val="sq-AL"/>
        </w:rPr>
        <w:t xml:space="preserve">                                            </w:t>
      </w:r>
      <w:r w:rsidR="00457E5F">
        <w:rPr>
          <w:b/>
          <w:bCs/>
          <w:lang w:val="sq-AL"/>
        </w:rPr>
        <w:t xml:space="preserve">0-14 vjeç 851 </w:t>
      </w:r>
    </w:p>
    <w:p w14:paraId="306A3A4B" w14:textId="235DC5DB" w:rsidR="00457E5F" w:rsidRDefault="0089603C" w:rsidP="00527317">
      <w:pPr>
        <w:spacing w:before="120" w:after="120"/>
        <w:jc w:val="both"/>
        <w:rPr>
          <w:b/>
          <w:bCs/>
          <w:lang w:val="sq-AL"/>
        </w:rPr>
      </w:pPr>
      <w:r>
        <w:rPr>
          <w:b/>
          <w:bCs/>
          <w:lang w:val="sq-AL"/>
        </w:rPr>
        <w:t xml:space="preserve">                                            </w:t>
      </w:r>
      <w:r w:rsidR="00457E5F">
        <w:rPr>
          <w:b/>
          <w:bCs/>
          <w:lang w:val="sq-AL"/>
        </w:rPr>
        <w:t>15-64 vjeç 4124</w:t>
      </w:r>
    </w:p>
    <w:p w14:paraId="36A479CA" w14:textId="58045D45" w:rsidR="00457E5F" w:rsidRDefault="0089603C" w:rsidP="00527317">
      <w:pPr>
        <w:spacing w:before="120" w:after="120"/>
        <w:jc w:val="both"/>
        <w:rPr>
          <w:b/>
          <w:bCs/>
          <w:lang w:val="sq-AL"/>
        </w:rPr>
      </w:pPr>
      <w:r>
        <w:rPr>
          <w:b/>
          <w:bCs/>
          <w:lang w:val="sq-AL"/>
        </w:rPr>
        <w:t xml:space="preserve">                                            </w:t>
      </w:r>
      <w:r w:rsidR="00457E5F">
        <w:rPr>
          <w:b/>
          <w:bCs/>
          <w:lang w:val="sq-AL"/>
        </w:rPr>
        <w:t xml:space="preserve">65+ vjeç 1247 </w:t>
      </w:r>
    </w:p>
    <w:p w14:paraId="63BCDDF8" w14:textId="6546917D" w:rsidR="00457E5F" w:rsidRPr="008D30DB" w:rsidRDefault="0089603C" w:rsidP="00527317">
      <w:pPr>
        <w:spacing w:before="120" w:after="120"/>
        <w:jc w:val="both"/>
        <w:rPr>
          <w:b/>
          <w:bCs/>
          <w:lang w:val="sq-AL"/>
        </w:rPr>
      </w:pPr>
      <w:r>
        <w:rPr>
          <w:b/>
          <w:bCs/>
          <w:lang w:val="sq-AL"/>
        </w:rPr>
        <w:t xml:space="preserve">                                            </w:t>
      </w:r>
      <w:r w:rsidR="00457E5F">
        <w:rPr>
          <w:b/>
          <w:bCs/>
          <w:lang w:val="sq-AL"/>
        </w:rPr>
        <w:t>Gjithsej 6222</w:t>
      </w:r>
      <w:r w:rsidR="000734E1">
        <w:rPr>
          <w:b/>
          <w:bCs/>
          <w:lang w:val="sq-AL"/>
        </w:rPr>
        <w:t xml:space="preserve"> banore</w:t>
      </w:r>
    </w:p>
    <w:p w14:paraId="34F3EF93" w14:textId="77777777" w:rsidR="00527317" w:rsidRPr="00F97B4B" w:rsidRDefault="00527317" w:rsidP="00527317">
      <w:pPr>
        <w:spacing w:before="120" w:after="120"/>
        <w:jc w:val="both"/>
        <w:rPr>
          <w:lang w:val="sq-AL"/>
        </w:rPr>
      </w:pPr>
      <w:r w:rsidRPr="00F97B4B">
        <w:rPr>
          <w:lang w:val="sq-AL"/>
        </w:rPr>
        <w:t xml:space="preserve">Mekanizmi i Referimit të rasteve të dhunës në familje vepron në nivel vendor konform Protokollit të Menaxhimit të Rasteve në bazë të Ligjit nr. 9669 datë 18.12.2006 “Për masa ndaj dhunës në marrëdhëniet familjare” i ndryshuar dhe VKM 334/2011 “Për mekanizmin e bashkërendimit të punës për referimin e rasteve të dhunës në marrëdhëniet familjare dhe mënyrën e procedimit të tij”. </w:t>
      </w:r>
    </w:p>
    <w:p w14:paraId="0D3AAFD3" w14:textId="241B2BD0" w:rsidR="00527317" w:rsidRDefault="00527317" w:rsidP="00527317">
      <w:pPr>
        <w:spacing w:before="120" w:after="120"/>
        <w:jc w:val="both"/>
        <w:rPr>
          <w:lang w:val="sq-AL"/>
        </w:rPr>
      </w:pPr>
      <w:r w:rsidRPr="00F97B4B">
        <w:rPr>
          <w:lang w:val="sq-AL"/>
        </w:rPr>
        <w:t>Gjatë viteve 202</w:t>
      </w:r>
      <w:r w:rsidR="00C277C1">
        <w:rPr>
          <w:lang w:val="sq-AL"/>
        </w:rPr>
        <w:t>1</w:t>
      </w:r>
      <w:r w:rsidR="005039BB">
        <w:rPr>
          <w:lang w:val="sq-AL"/>
        </w:rPr>
        <w:t>-202</w:t>
      </w:r>
      <w:r w:rsidR="00C277C1">
        <w:rPr>
          <w:lang w:val="sq-AL"/>
        </w:rPr>
        <w:t>6</w:t>
      </w:r>
      <w:r w:rsidR="005039BB">
        <w:rPr>
          <w:lang w:val="sq-AL"/>
        </w:rPr>
        <w:t xml:space="preserve"> jan</w:t>
      </w:r>
      <w:r w:rsidR="008D30DB">
        <w:rPr>
          <w:lang w:val="sq-AL"/>
        </w:rPr>
        <w:t>ë</w:t>
      </w:r>
      <w:r w:rsidR="005039BB">
        <w:rPr>
          <w:lang w:val="sq-AL"/>
        </w:rPr>
        <w:t xml:space="preserve"> </w:t>
      </w:r>
      <w:r w:rsidRPr="00F97B4B">
        <w:rPr>
          <w:lang w:val="sq-AL"/>
        </w:rPr>
        <w:t xml:space="preserve"> trajtuar rreth </w:t>
      </w:r>
      <w:r w:rsidR="00117B59">
        <w:rPr>
          <w:lang w:val="sq-AL"/>
        </w:rPr>
        <w:t>20</w:t>
      </w:r>
      <w:r w:rsidR="005039BB">
        <w:rPr>
          <w:lang w:val="sq-AL"/>
        </w:rPr>
        <w:t xml:space="preserve"> </w:t>
      </w:r>
      <w:r w:rsidRPr="00F97B4B">
        <w:rPr>
          <w:lang w:val="sq-AL"/>
        </w:rPr>
        <w:t>raste të dhunës në familje, paraqitur në</w:t>
      </w:r>
      <w:r>
        <w:rPr>
          <w:lang w:val="sq-AL"/>
        </w:rPr>
        <w:t xml:space="preserve"> tabel</w:t>
      </w:r>
      <w:r w:rsidR="008D30DB">
        <w:rPr>
          <w:lang w:val="sq-AL"/>
        </w:rPr>
        <w:t>ë</w:t>
      </w:r>
      <w:r>
        <w:rPr>
          <w:lang w:val="sq-AL"/>
        </w:rPr>
        <w:t>n m</w:t>
      </w:r>
      <w:r w:rsidR="008D30DB">
        <w:rPr>
          <w:lang w:val="sq-AL"/>
        </w:rPr>
        <w:t>ë</w:t>
      </w:r>
      <w:r>
        <w:rPr>
          <w:lang w:val="sq-AL"/>
        </w:rPr>
        <w:t xml:space="preserve"> posht</w:t>
      </w:r>
      <w:r w:rsidR="008D30DB">
        <w:rPr>
          <w:lang w:val="sq-AL"/>
        </w:rPr>
        <w:t>ë</w:t>
      </w:r>
      <w:r>
        <w:rPr>
          <w:lang w:val="sq-AL"/>
        </w:rPr>
        <w:t>.</w:t>
      </w:r>
    </w:p>
    <w:p w14:paraId="1F77E7D4" w14:textId="77777777" w:rsidR="00527317" w:rsidRPr="00F97B4B" w:rsidRDefault="00527317" w:rsidP="00527317">
      <w:pPr>
        <w:spacing w:before="120" w:after="120"/>
        <w:jc w:val="both"/>
        <w:rPr>
          <w:lang w:val="sq-AL"/>
        </w:rPr>
      </w:pPr>
    </w:p>
    <w:p w14:paraId="56057001" w14:textId="3C33FD8B" w:rsidR="00527317" w:rsidRPr="00F97B4B" w:rsidRDefault="00527317" w:rsidP="00527317">
      <w:pPr>
        <w:contextualSpacing/>
        <w:jc w:val="both"/>
        <w:rPr>
          <w:rFonts w:eastAsia="Calibri"/>
          <w:lang w:val="sq-AL"/>
        </w:rPr>
      </w:pPr>
      <w:r w:rsidRPr="00F97B4B">
        <w:rPr>
          <w:rFonts w:eastAsia="Calibri"/>
          <w:lang w:val="sq-AL"/>
        </w:rPr>
        <w:t>Numri më i lartë i rasteve</w:t>
      </w:r>
      <w:r>
        <w:rPr>
          <w:rFonts w:eastAsia="Calibri"/>
          <w:lang w:val="sq-AL"/>
        </w:rPr>
        <w:t xml:space="preserve"> të dhunës rezulton </w:t>
      </w:r>
      <w:r w:rsidR="00106622">
        <w:rPr>
          <w:rFonts w:eastAsia="Calibri"/>
          <w:lang w:val="sq-AL"/>
        </w:rPr>
        <w:t>te jete  ne Puke,njesine Rrape,njesine Gjegjan dhe njesine Qelez</w:t>
      </w:r>
      <w:r w:rsidRPr="00F97B4B">
        <w:rPr>
          <w:rFonts w:eastAsia="Calibri"/>
          <w:lang w:val="sq-AL"/>
        </w:rPr>
        <w:t xml:space="preserve">.Sipas të dhënave për  periudhën 2020-2023, nga NJA </w:t>
      </w:r>
      <w:r w:rsidR="00106622">
        <w:rPr>
          <w:rFonts w:eastAsia="Calibri"/>
          <w:lang w:val="sq-AL"/>
        </w:rPr>
        <w:t>Qerret</w:t>
      </w:r>
      <w:r w:rsidRPr="00F97B4B">
        <w:rPr>
          <w:rFonts w:eastAsia="Calibri"/>
          <w:lang w:val="sq-AL"/>
        </w:rPr>
        <w:t xml:space="preserve"> nuk ka asnjë raportim për dhunë në familje.</w:t>
      </w:r>
    </w:p>
    <w:p w14:paraId="29A6B4D9" w14:textId="77777777" w:rsidR="00527317" w:rsidRPr="00F97B4B" w:rsidRDefault="00527317" w:rsidP="00527317">
      <w:pPr>
        <w:contextualSpacing/>
        <w:jc w:val="both"/>
        <w:rPr>
          <w:rFonts w:eastAsia="Calibri"/>
          <w:lang w:val="sq-AL"/>
        </w:rPr>
      </w:pPr>
    </w:p>
    <w:p w14:paraId="7B74C48A" w14:textId="77777777" w:rsidR="00527317" w:rsidRPr="00F97B4B" w:rsidRDefault="00527317" w:rsidP="00527317">
      <w:pPr>
        <w:contextualSpacing/>
        <w:jc w:val="both"/>
        <w:rPr>
          <w:rFonts w:eastAsia="Calibri"/>
          <w:lang w:val="sq-AL"/>
        </w:rPr>
      </w:pPr>
      <w:r w:rsidRPr="00F97B4B">
        <w:rPr>
          <w:rFonts w:eastAsia="Calibri"/>
          <w:lang w:val="sq-AL"/>
        </w:rPr>
        <w:t>Bazuar legjislacionit shqiptar rastet e pajisura me Urdhër të Menjëhershëm Mbrojtje (UMM), dhe/ose Urdhër Mbrojtje (UM) përfitojnë NE prej 9900 lekësh.  Në fakt të gjitha rastet  me UMM/UM (në vite) në 4 Njësitë Administrative nuk rezulton të kenë përfituar pagesë/NE. Specialisti që mbulon çështjet e dhunës e shpjegon këtë situatë</w:t>
      </w:r>
      <w:r>
        <w:rPr>
          <w:rFonts w:eastAsia="Calibri"/>
          <w:lang w:val="sq-AL"/>
        </w:rPr>
        <w:t xml:space="preserve"> </w:t>
      </w:r>
      <w:r w:rsidRPr="00F97B4B">
        <w:rPr>
          <w:rFonts w:eastAsia="Calibri"/>
          <w:lang w:val="sq-AL"/>
        </w:rPr>
        <w:t>me faktin se viktimat:i)nuk kanë informacion mbi ndihmën; ii) nuk janë të interesuara për pagesën; iii) ose janë larguar në bashki të tjera ose jashtë shtetit.</w:t>
      </w:r>
    </w:p>
    <w:p w14:paraId="49A4EEEC" w14:textId="77777777" w:rsidR="00527317" w:rsidRPr="00F97B4B" w:rsidRDefault="00527317" w:rsidP="00527317">
      <w:pPr>
        <w:contextualSpacing/>
        <w:jc w:val="both"/>
        <w:rPr>
          <w:rFonts w:eastAsia="Calibri"/>
          <w:lang w:val="sq-AL"/>
        </w:rPr>
      </w:pPr>
    </w:p>
    <w:p w14:paraId="576EB943" w14:textId="763D7B34" w:rsidR="00527317" w:rsidRDefault="00527317" w:rsidP="00527317">
      <w:pPr>
        <w:contextualSpacing/>
        <w:jc w:val="both"/>
        <w:rPr>
          <w:rFonts w:eastAsia="Calibri"/>
          <w:lang w:val="sq-AL"/>
        </w:rPr>
      </w:pPr>
      <w:r w:rsidRPr="00F97B4B">
        <w:rPr>
          <w:rFonts w:eastAsia="Calibri"/>
          <w:lang w:val="sq-AL"/>
        </w:rPr>
        <w:t xml:space="preserve">Sipas diskutimeve me profesionistë në Bashkinë </w:t>
      </w:r>
      <w:r w:rsidR="00577F25">
        <w:rPr>
          <w:rFonts w:eastAsia="Calibri"/>
          <w:lang w:val="sq-AL"/>
        </w:rPr>
        <w:t>Puke</w:t>
      </w:r>
      <w:r w:rsidRPr="00F97B4B">
        <w:rPr>
          <w:rFonts w:eastAsia="Calibri"/>
          <w:lang w:val="sq-AL"/>
        </w:rPr>
        <w:t xml:space="preserve"> në zonat rurale të Bashkisë ka dhunë në familje, por ajo mbetet e paraportuar  për shkak të mentalitetit, mungesës së informacionit, ndërgjegjësimit të ulët, nivelit të ulët ekonomike dhe varësisë ekonomike, mungesës</w:t>
      </w:r>
      <w:r>
        <w:rPr>
          <w:rFonts w:eastAsia="Calibri"/>
          <w:lang w:val="sq-AL"/>
        </w:rPr>
        <w:t xml:space="preserve"> </w:t>
      </w:r>
      <w:r w:rsidRPr="00F97B4B">
        <w:rPr>
          <w:rFonts w:eastAsia="Calibri"/>
          <w:lang w:val="sq-AL"/>
        </w:rPr>
        <w:t>së besimit tek institucionet.</w:t>
      </w:r>
    </w:p>
    <w:p w14:paraId="4DC61DE6" w14:textId="77777777" w:rsidR="00527317" w:rsidRPr="00F97B4B" w:rsidRDefault="00527317" w:rsidP="00527317">
      <w:pPr>
        <w:contextualSpacing/>
        <w:jc w:val="both"/>
        <w:rPr>
          <w:rFonts w:eastAsia="Calibri"/>
          <w:lang w:val="sq-AL"/>
        </w:rPr>
      </w:pPr>
    </w:p>
    <w:p w14:paraId="4475E33C" w14:textId="6B24B28D" w:rsidR="00527317" w:rsidRDefault="00527317" w:rsidP="00527317">
      <w:pPr>
        <w:contextualSpacing/>
        <w:jc w:val="both"/>
        <w:rPr>
          <w:rFonts w:eastAsia="Calibri"/>
          <w:lang w:val="sq-AL"/>
        </w:rPr>
      </w:pPr>
      <w:r w:rsidRPr="00F97B4B">
        <w:rPr>
          <w:rFonts w:eastAsia="Calibri"/>
          <w:lang w:val="sq-AL"/>
        </w:rPr>
        <w:t>Në Bashkinë</w:t>
      </w:r>
      <w:r>
        <w:rPr>
          <w:rFonts w:eastAsia="Calibri"/>
          <w:lang w:val="sq-AL"/>
        </w:rPr>
        <w:t xml:space="preserve"> </w:t>
      </w:r>
      <w:r w:rsidR="00577F25">
        <w:rPr>
          <w:rFonts w:eastAsia="Calibri"/>
          <w:lang w:val="sq-AL"/>
        </w:rPr>
        <w:t>Puke</w:t>
      </w:r>
      <w:r w:rsidRPr="00F97B4B">
        <w:rPr>
          <w:rFonts w:eastAsia="Calibri"/>
          <w:lang w:val="sq-AL"/>
        </w:rPr>
        <w:t>, është nd</w:t>
      </w:r>
      <w:r>
        <w:rPr>
          <w:rFonts w:eastAsia="Calibri"/>
          <w:lang w:val="sq-AL"/>
        </w:rPr>
        <w:t xml:space="preserve">ërtuar </w:t>
      </w:r>
      <w:r w:rsidRPr="00F97B4B">
        <w:rPr>
          <w:rFonts w:eastAsia="Calibri"/>
          <w:lang w:val="sq-AL"/>
        </w:rPr>
        <w:t xml:space="preserve">sistemi elektronik i regjistrimit dhe i ruajtjes së të dhënave për rastet e dhunës në familje pranë njësisë vendore. </w:t>
      </w:r>
    </w:p>
    <w:p w14:paraId="4E1D5A27" w14:textId="77777777" w:rsidR="008D30DB" w:rsidRPr="008D30DB" w:rsidRDefault="008D30DB" w:rsidP="00527317">
      <w:pPr>
        <w:contextualSpacing/>
        <w:jc w:val="both"/>
        <w:rPr>
          <w:rFonts w:eastAsia="Calibri"/>
          <w:b/>
          <w:bCs/>
          <w:lang w:val="sq-AL"/>
        </w:rPr>
      </w:pPr>
      <w:r w:rsidRPr="008D30DB">
        <w:rPr>
          <w:rFonts w:eastAsia="Calibri"/>
          <w:b/>
          <w:bCs/>
          <w:lang w:val="sq-AL"/>
        </w:rPr>
        <w:t xml:space="preserve">Tabela 3. Rastet e dhunës në familje 2020-2025 </w:t>
      </w:r>
    </w:p>
    <w:p w14:paraId="57185AF1" w14:textId="77777777" w:rsidR="008D30DB" w:rsidRPr="00F97B4B" w:rsidRDefault="008D30DB" w:rsidP="00527317">
      <w:pPr>
        <w:contextualSpacing/>
        <w:jc w:val="both"/>
        <w:rPr>
          <w:rFonts w:eastAsia="Calibri"/>
          <w:lang w:val="sq-AL"/>
        </w:rPr>
      </w:pPr>
    </w:p>
    <w:tbl>
      <w:tblPr>
        <w:tblW w:w="10255" w:type="dxa"/>
        <w:tblLayout w:type="fixed"/>
        <w:tblLook w:val="04A0" w:firstRow="1" w:lastRow="0" w:firstColumn="1" w:lastColumn="0" w:noHBand="0" w:noVBand="1"/>
      </w:tblPr>
      <w:tblGrid>
        <w:gridCol w:w="1075"/>
        <w:gridCol w:w="720"/>
        <w:gridCol w:w="720"/>
        <w:gridCol w:w="990"/>
        <w:gridCol w:w="720"/>
        <w:gridCol w:w="720"/>
        <w:gridCol w:w="823"/>
        <w:gridCol w:w="696"/>
        <w:gridCol w:w="696"/>
        <w:gridCol w:w="696"/>
        <w:gridCol w:w="779"/>
        <w:gridCol w:w="720"/>
        <w:gridCol w:w="900"/>
      </w:tblGrid>
      <w:tr w:rsidR="008C47A0" w:rsidRPr="00F97B4B" w14:paraId="2B68632E" w14:textId="77777777" w:rsidTr="00117B59">
        <w:trPr>
          <w:trHeight w:val="750"/>
        </w:trPr>
        <w:tc>
          <w:tcPr>
            <w:tcW w:w="1075" w:type="dxa"/>
            <w:vMerge w:val="restart"/>
            <w:tcBorders>
              <w:top w:val="single" w:sz="4" w:space="0" w:color="auto"/>
              <w:left w:val="single" w:sz="4" w:space="0" w:color="auto"/>
              <w:bottom w:val="single" w:sz="4" w:space="0" w:color="auto"/>
              <w:right w:val="single" w:sz="4" w:space="0" w:color="auto"/>
            </w:tcBorders>
            <w:shd w:val="clear" w:color="auto" w:fill="DBEDF8" w:themeFill="accent3" w:themeFillTint="33"/>
            <w:vAlign w:val="bottom"/>
            <w:hideMark/>
          </w:tcPr>
          <w:p w14:paraId="5C65A20C" w14:textId="77777777" w:rsidR="008C47A0" w:rsidRPr="00F97B4B" w:rsidRDefault="008C47A0" w:rsidP="00341CE7">
            <w:pPr>
              <w:jc w:val="center"/>
              <w:rPr>
                <w:lang w:val="sq-AL"/>
              </w:rPr>
            </w:pPr>
            <w:r w:rsidRPr="00F97B4B">
              <w:rPr>
                <w:lang w:val="sq-AL"/>
              </w:rPr>
              <w:t>Njësitë administrative</w:t>
            </w:r>
          </w:p>
        </w:tc>
        <w:tc>
          <w:tcPr>
            <w:tcW w:w="4693" w:type="dxa"/>
            <w:gridSpan w:val="6"/>
            <w:tcBorders>
              <w:top w:val="single" w:sz="4" w:space="0" w:color="auto"/>
              <w:left w:val="nil"/>
              <w:bottom w:val="single" w:sz="4" w:space="0" w:color="auto"/>
              <w:right w:val="single" w:sz="4" w:space="0" w:color="auto"/>
            </w:tcBorders>
            <w:shd w:val="clear" w:color="auto" w:fill="94C9EA" w:themeFill="accent3" w:themeFillTint="99"/>
            <w:vAlign w:val="bottom"/>
            <w:hideMark/>
          </w:tcPr>
          <w:p w14:paraId="42067FAD" w14:textId="77777777" w:rsidR="008C47A0" w:rsidRPr="00F97B4B" w:rsidRDefault="008C47A0" w:rsidP="00341CE7">
            <w:pPr>
              <w:jc w:val="center"/>
              <w:rPr>
                <w:lang w:val="sq-AL"/>
              </w:rPr>
            </w:pPr>
            <w:r w:rsidRPr="00F97B4B">
              <w:rPr>
                <w:lang w:val="sq-AL"/>
              </w:rPr>
              <w:t>Raste të dhunës me UM</w:t>
            </w:r>
          </w:p>
        </w:tc>
        <w:tc>
          <w:tcPr>
            <w:tcW w:w="4487" w:type="dxa"/>
            <w:gridSpan w:val="6"/>
            <w:tcBorders>
              <w:top w:val="single" w:sz="4" w:space="0" w:color="auto"/>
              <w:left w:val="single" w:sz="4" w:space="0" w:color="auto"/>
              <w:bottom w:val="single" w:sz="4" w:space="0" w:color="auto"/>
              <w:right w:val="single" w:sz="4" w:space="0" w:color="000000"/>
            </w:tcBorders>
            <w:shd w:val="clear" w:color="auto" w:fill="B8DBF1" w:themeFill="accent3" w:themeFillTint="66"/>
          </w:tcPr>
          <w:p w14:paraId="0E5CD71C" w14:textId="77777777" w:rsidR="008C47A0" w:rsidRDefault="008C47A0" w:rsidP="00341CE7">
            <w:pPr>
              <w:jc w:val="center"/>
              <w:rPr>
                <w:lang w:val="sq-AL"/>
              </w:rPr>
            </w:pPr>
          </w:p>
          <w:p w14:paraId="1AB4F6AF" w14:textId="77777777" w:rsidR="008C47A0" w:rsidRPr="00F97B4B" w:rsidRDefault="008C47A0" w:rsidP="00341CE7">
            <w:pPr>
              <w:jc w:val="center"/>
              <w:rPr>
                <w:lang w:val="sq-AL"/>
              </w:rPr>
            </w:pPr>
            <w:r w:rsidRPr="00F97B4B">
              <w:rPr>
                <w:lang w:val="sq-AL"/>
              </w:rPr>
              <w:t>Raste të dhunës me UM  përfitojnë pagesë</w:t>
            </w:r>
          </w:p>
        </w:tc>
      </w:tr>
      <w:tr w:rsidR="008C47A0" w:rsidRPr="00F97B4B" w14:paraId="13919597" w14:textId="77777777" w:rsidTr="00117B59">
        <w:trPr>
          <w:trHeight w:val="900"/>
        </w:trPr>
        <w:tc>
          <w:tcPr>
            <w:tcW w:w="1075" w:type="dxa"/>
            <w:vMerge/>
            <w:tcBorders>
              <w:top w:val="single" w:sz="4" w:space="0" w:color="auto"/>
              <w:left w:val="single" w:sz="4" w:space="0" w:color="auto"/>
              <w:bottom w:val="single" w:sz="4" w:space="0" w:color="auto"/>
              <w:right w:val="single" w:sz="4" w:space="0" w:color="auto"/>
            </w:tcBorders>
            <w:shd w:val="clear" w:color="auto" w:fill="DBEDF8" w:themeFill="accent3" w:themeFillTint="33"/>
            <w:vAlign w:val="center"/>
            <w:hideMark/>
          </w:tcPr>
          <w:p w14:paraId="5EB199C0" w14:textId="77777777" w:rsidR="008C47A0" w:rsidRPr="00F97B4B" w:rsidRDefault="008C47A0" w:rsidP="00341CE7">
            <w:pPr>
              <w:rPr>
                <w:lang w:val="sq-AL"/>
              </w:rPr>
            </w:pPr>
          </w:p>
        </w:tc>
        <w:tc>
          <w:tcPr>
            <w:tcW w:w="720" w:type="dxa"/>
            <w:tcBorders>
              <w:top w:val="nil"/>
              <w:left w:val="nil"/>
              <w:bottom w:val="single" w:sz="4" w:space="0" w:color="auto"/>
              <w:right w:val="single" w:sz="4" w:space="0" w:color="auto"/>
            </w:tcBorders>
            <w:shd w:val="clear" w:color="auto" w:fill="94C9EA" w:themeFill="accent3" w:themeFillTint="99"/>
            <w:vAlign w:val="bottom"/>
            <w:hideMark/>
          </w:tcPr>
          <w:p w14:paraId="5E6443DF" w14:textId="77777777" w:rsidR="008C47A0" w:rsidRPr="00F97B4B" w:rsidRDefault="008C47A0" w:rsidP="00341CE7">
            <w:pPr>
              <w:rPr>
                <w:lang w:val="sq-AL"/>
              </w:rPr>
            </w:pPr>
            <w:r w:rsidRPr="00F97B4B">
              <w:rPr>
                <w:lang w:val="sq-AL"/>
              </w:rPr>
              <w:t>2020</w:t>
            </w:r>
          </w:p>
        </w:tc>
        <w:tc>
          <w:tcPr>
            <w:tcW w:w="720" w:type="dxa"/>
            <w:tcBorders>
              <w:top w:val="nil"/>
              <w:left w:val="nil"/>
              <w:bottom w:val="single" w:sz="4" w:space="0" w:color="auto"/>
              <w:right w:val="single" w:sz="4" w:space="0" w:color="auto"/>
            </w:tcBorders>
            <w:shd w:val="clear" w:color="auto" w:fill="94C9EA" w:themeFill="accent3" w:themeFillTint="99"/>
            <w:vAlign w:val="bottom"/>
            <w:hideMark/>
          </w:tcPr>
          <w:p w14:paraId="478CBC25" w14:textId="77777777" w:rsidR="008C47A0" w:rsidRPr="00F97B4B" w:rsidRDefault="008C47A0" w:rsidP="00341CE7">
            <w:pPr>
              <w:rPr>
                <w:lang w:val="sq-AL"/>
              </w:rPr>
            </w:pPr>
            <w:r w:rsidRPr="00F97B4B">
              <w:rPr>
                <w:lang w:val="sq-AL"/>
              </w:rPr>
              <w:t>2021</w:t>
            </w:r>
          </w:p>
        </w:tc>
        <w:tc>
          <w:tcPr>
            <w:tcW w:w="990" w:type="dxa"/>
            <w:tcBorders>
              <w:top w:val="nil"/>
              <w:left w:val="nil"/>
              <w:bottom w:val="single" w:sz="4" w:space="0" w:color="auto"/>
              <w:right w:val="single" w:sz="4" w:space="0" w:color="auto"/>
            </w:tcBorders>
            <w:shd w:val="clear" w:color="auto" w:fill="94C9EA" w:themeFill="accent3" w:themeFillTint="99"/>
            <w:vAlign w:val="bottom"/>
            <w:hideMark/>
          </w:tcPr>
          <w:p w14:paraId="7D1AB420" w14:textId="77777777" w:rsidR="008C47A0" w:rsidRPr="00F97B4B" w:rsidRDefault="008C47A0" w:rsidP="00341CE7">
            <w:pPr>
              <w:rPr>
                <w:lang w:val="sq-AL"/>
              </w:rPr>
            </w:pPr>
            <w:r w:rsidRPr="00F97B4B">
              <w:rPr>
                <w:lang w:val="sq-AL"/>
              </w:rPr>
              <w:t xml:space="preserve">2022 </w:t>
            </w:r>
          </w:p>
        </w:tc>
        <w:tc>
          <w:tcPr>
            <w:tcW w:w="720" w:type="dxa"/>
            <w:tcBorders>
              <w:top w:val="nil"/>
              <w:left w:val="nil"/>
              <w:bottom w:val="single" w:sz="4" w:space="0" w:color="auto"/>
              <w:right w:val="single" w:sz="4" w:space="0" w:color="auto"/>
            </w:tcBorders>
            <w:shd w:val="clear" w:color="auto" w:fill="94C9EA" w:themeFill="accent3" w:themeFillTint="99"/>
            <w:vAlign w:val="bottom"/>
            <w:hideMark/>
          </w:tcPr>
          <w:p w14:paraId="047D23EB" w14:textId="77777777" w:rsidR="008C47A0" w:rsidRPr="00F97B4B" w:rsidRDefault="008C47A0" w:rsidP="00341CE7">
            <w:pPr>
              <w:rPr>
                <w:lang w:val="sq-AL"/>
              </w:rPr>
            </w:pPr>
            <w:r w:rsidRPr="00F97B4B">
              <w:rPr>
                <w:lang w:val="sq-AL"/>
              </w:rPr>
              <w:t xml:space="preserve"> 2023</w:t>
            </w:r>
          </w:p>
        </w:tc>
        <w:tc>
          <w:tcPr>
            <w:tcW w:w="720" w:type="dxa"/>
            <w:tcBorders>
              <w:top w:val="nil"/>
              <w:left w:val="nil"/>
              <w:bottom w:val="single" w:sz="4" w:space="0" w:color="auto"/>
              <w:right w:val="single" w:sz="4" w:space="0" w:color="auto"/>
            </w:tcBorders>
            <w:shd w:val="clear" w:color="auto" w:fill="B8DBF1" w:themeFill="accent3" w:themeFillTint="66"/>
          </w:tcPr>
          <w:p w14:paraId="4FD79E40" w14:textId="77777777" w:rsidR="008C47A0" w:rsidRDefault="008C47A0" w:rsidP="00341CE7">
            <w:pPr>
              <w:jc w:val="center"/>
              <w:rPr>
                <w:lang w:val="sq-AL"/>
              </w:rPr>
            </w:pPr>
          </w:p>
          <w:p w14:paraId="1DDED9B7" w14:textId="77777777" w:rsidR="008C47A0" w:rsidRDefault="008C47A0" w:rsidP="00341CE7">
            <w:pPr>
              <w:jc w:val="center"/>
              <w:rPr>
                <w:lang w:val="sq-AL"/>
              </w:rPr>
            </w:pPr>
          </w:p>
          <w:p w14:paraId="0952FA81" w14:textId="77777777" w:rsidR="008C47A0" w:rsidRDefault="008C47A0" w:rsidP="00341CE7">
            <w:pPr>
              <w:jc w:val="center"/>
              <w:rPr>
                <w:lang w:val="sq-AL"/>
              </w:rPr>
            </w:pPr>
            <w:r>
              <w:rPr>
                <w:lang w:val="sq-AL"/>
              </w:rPr>
              <w:t xml:space="preserve"> 2024</w:t>
            </w:r>
          </w:p>
        </w:tc>
        <w:tc>
          <w:tcPr>
            <w:tcW w:w="823" w:type="dxa"/>
            <w:tcBorders>
              <w:top w:val="nil"/>
              <w:left w:val="single" w:sz="4" w:space="0" w:color="auto"/>
              <w:bottom w:val="single" w:sz="4" w:space="0" w:color="auto"/>
              <w:right w:val="single" w:sz="4" w:space="0" w:color="auto"/>
            </w:tcBorders>
            <w:shd w:val="clear" w:color="auto" w:fill="B8DBF1" w:themeFill="accent3" w:themeFillTint="66"/>
          </w:tcPr>
          <w:p w14:paraId="4F60E31B" w14:textId="77777777" w:rsidR="008C47A0" w:rsidRDefault="008C47A0" w:rsidP="00341CE7">
            <w:pPr>
              <w:jc w:val="center"/>
              <w:rPr>
                <w:lang w:val="sq-AL"/>
              </w:rPr>
            </w:pPr>
          </w:p>
          <w:p w14:paraId="52F55E25" w14:textId="77777777" w:rsidR="008C47A0" w:rsidRDefault="008C47A0" w:rsidP="00341CE7">
            <w:pPr>
              <w:jc w:val="center"/>
              <w:rPr>
                <w:lang w:val="sq-AL"/>
              </w:rPr>
            </w:pPr>
          </w:p>
          <w:p w14:paraId="2A299B64" w14:textId="77777777" w:rsidR="008C47A0" w:rsidRDefault="008C47A0" w:rsidP="00341CE7">
            <w:pPr>
              <w:jc w:val="center"/>
              <w:rPr>
                <w:lang w:val="sq-AL"/>
              </w:rPr>
            </w:pPr>
          </w:p>
          <w:p w14:paraId="193B1F07" w14:textId="77777777" w:rsidR="008C47A0" w:rsidRPr="00F97B4B" w:rsidRDefault="008C47A0" w:rsidP="00341CE7">
            <w:pPr>
              <w:jc w:val="center"/>
              <w:rPr>
                <w:lang w:val="sq-AL"/>
              </w:rPr>
            </w:pPr>
            <w:r>
              <w:rPr>
                <w:lang w:val="sq-AL"/>
              </w:rPr>
              <w:t xml:space="preserve"> 2025</w:t>
            </w:r>
          </w:p>
        </w:tc>
        <w:tc>
          <w:tcPr>
            <w:tcW w:w="696" w:type="dxa"/>
            <w:tcBorders>
              <w:top w:val="nil"/>
              <w:left w:val="single" w:sz="4" w:space="0" w:color="auto"/>
              <w:bottom w:val="single" w:sz="4" w:space="0" w:color="auto"/>
              <w:right w:val="single" w:sz="4" w:space="0" w:color="auto"/>
            </w:tcBorders>
            <w:shd w:val="clear" w:color="auto" w:fill="B8DBF1" w:themeFill="accent3" w:themeFillTint="66"/>
            <w:vAlign w:val="bottom"/>
            <w:hideMark/>
          </w:tcPr>
          <w:p w14:paraId="0C21FEE7" w14:textId="77777777" w:rsidR="008C47A0" w:rsidRPr="00F97B4B" w:rsidRDefault="008C47A0" w:rsidP="00341CE7">
            <w:pPr>
              <w:rPr>
                <w:lang w:val="sq-AL"/>
              </w:rPr>
            </w:pPr>
            <w:r w:rsidRPr="00F97B4B">
              <w:rPr>
                <w:lang w:val="sq-AL"/>
              </w:rPr>
              <w:t xml:space="preserve"> 2020</w:t>
            </w:r>
          </w:p>
        </w:tc>
        <w:tc>
          <w:tcPr>
            <w:tcW w:w="696" w:type="dxa"/>
            <w:tcBorders>
              <w:top w:val="nil"/>
              <w:left w:val="nil"/>
              <w:bottom w:val="single" w:sz="4" w:space="0" w:color="auto"/>
              <w:right w:val="single" w:sz="4" w:space="0" w:color="auto"/>
            </w:tcBorders>
            <w:shd w:val="clear" w:color="auto" w:fill="B8DBF1" w:themeFill="accent3" w:themeFillTint="66"/>
            <w:vAlign w:val="bottom"/>
            <w:hideMark/>
          </w:tcPr>
          <w:p w14:paraId="0F3C8F9B" w14:textId="77777777" w:rsidR="008C47A0" w:rsidRPr="00F97B4B" w:rsidRDefault="008C47A0" w:rsidP="00341CE7">
            <w:pPr>
              <w:rPr>
                <w:lang w:val="sq-AL"/>
              </w:rPr>
            </w:pPr>
            <w:r w:rsidRPr="00F97B4B">
              <w:rPr>
                <w:lang w:val="sq-AL"/>
              </w:rPr>
              <w:t xml:space="preserve"> 2021</w:t>
            </w:r>
          </w:p>
        </w:tc>
        <w:tc>
          <w:tcPr>
            <w:tcW w:w="696" w:type="dxa"/>
            <w:tcBorders>
              <w:top w:val="nil"/>
              <w:left w:val="nil"/>
              <w:bottom w:val="single" w:sz="4" w:space="0" w:color="auto"/>
              <w:right w:val="single" w:sz="4" w:space="0" w:color="auto"/>
            </w:tcBorders>
            <w:shd w:val="clear" w:color="auto" w:fill="B8DBF1" w:themeFill="accent3" w:themeFillTint="66"/>
            <w:vAlign w:val="bottom"/>
            <w:hideMark/>
          </w:tcPr>
          <w:p w14:paraId="215DDCD1" w14:textId="77777777" w:rsidR="008C47A0" w:rsidRPr="00F97B4B" w:rsidRDefault="008C47A0" w:rsidP="00341CE7">
            <w:pPr>
              <w:rPr>
                <w:lang w:val="sq-AL"/>
              </w:rPr>
            </w:pPr>
            <w:r w:rsidRPr="00F97B4B">
              <w:rPr>
                <w:lang w:val="sq-AL"/>
              </w:rPr>
              <w:t xml:space="preserve"> 2022 </w:t>
            </w:r>
          </w:p>
        </w:tc>
        <w:tc>
          <w:tcPr>
            <w:tcW w:w="779" w:type="dxa"/>
            <w:tcBorders>
              <w:top w:val="nil"/>
              <w:left w:val="nil"/>
              <w:bottom w:val="single" w:sz="4" w:space="0" w:color="auto"/>
              <w:right w:val="single" w:sz="4" w:space="0" w:color="auto"/>
            </w:tcBorders>
            <w:shd w:val="clear" w:color="auto" w:fill="B8DBF1" w:themeFill="accent3" w:themeFillTint="66"/>
          </w:tcPr>
          <w:p w14:paraId="28ECF78C" w14:textId="77777777" w:rsidR="008C47A0" w:rsidRDefault="008C47A0" w:rsidP="00341CE7">
            <w:pPr>
              <w:rPr>
                <w:lang w:val="sq-AL"/>
              </w:rPr>
            </w:pPr>
          </w:p>
          <w:p w14:paraId="25E1837D" w14:textId="77777777" w:rsidR="008C47A0" w:rsidRDefault="008C47A0" w:rsidP="00341CE7">
            <w:pPr>
              <w:rPr>
                <w:lang w:val="sq-AL"/>
              </w:rPr>
            </w:pPr>
          </w:p>
          <w:p w14:paraId="577E0CC7" w14:textId="77777777" w:rsidR="008C47A0" w:rsidRDefault="008C47A0" w:rsidP="00341CE7">
            <w:pPr>
              <w:rPr>
                <w:lang w:val="sq-AL"/>
              </w:rPr>
            </w:pPr>
          </w:p>
          <w:p w14:paraId="19BD1B3E" w14:textId="77777777" w:rsidR="008C47A0" w:rsidRDefault="008C47A0" w:rsidP="00341CE7">
            <w:pPr>
              <w:rPr>
                <w:lang w:val="sq-AL"/>
              </w:rPr>
            </w:pPr>
            <w:r>
              <w:rPr>
                <w:lang w:val="sq-AL"/>
              </w:rPr>
              <w:t>2023</w:t>
            </w:r>
          </w:p>
        </w:tc>
        <w:tc>
          <w:tcPr>
            <w:tcW w:w="720" w:type="dxa"/>
            <w:tcBorders>
              <w:top w:val="nil"/>
              <w:left w:val="single" w:sz="4" w:space="0" w:color="auto"/>
              <w:bottom w:val="single" w:sz="4" w:space="0" w:color="auto"/>
              <w:right w:val="single" w:sz="4" w:space="0" w:color="auto"/>
            </w:tcBorders>
            <w:shd w:val="clear" w:color="auto" w:fill="B8DBF1" w:themeFill="accent3" w:themeFillTint="66"/>
          </w:tcPr>
          <w:p w14:paraId="06CAD10D" w14:textId="77777777" w:rsidR="008C47A0" w:rsidRDefault="008C47A0" w:rsidP="00341CE7">
            <w:pPr>
              <w:rPr>
                <w:lang w:val="sq-AL"/>
              </w:rPr>
            </w:pPr>
          </w:p>
          <w:p w14:paraId="2DC283B1" w14:textId="77777777" w:rsidR="008C47A0" w:rsidRDefault="008C47A0" w:rsidP="00341CE7">
            <w:pPr>
              <w:rPr>
                <w:lang w:val="sq-AL"/>
              </w:rPr>
            </w:pPr>
          </w:p>
          <w:p w14:paraId="1A42D7F9" w14:textId="77777777" w:rsidR="008C47A0" w:rsidRDefault="008C47A0" w:rsidP="00341CE7">
            <w:pPr>
              <w:rPr>
                <w:lang w:val="sq-AL"/>
              </w:rPr>
            </w:pPr>
          </w:p>
          <w:p w14:paraId="1164278D" w14:textId="77777777" w:rsidR="008C47A0" w:rsidRPr="00052C40" w:rsidRDefault="008C47A0" w:rsidP="00341CE7">
            <w:pPr>
              <w:rPr>
                <w:lang w:val="sq-AL"/>
              </w:rPr>
            </w:pPr>
            <w:r>
              <w:rPr>
                <w:lang w:val="sq-AL"/>
              </w:rPr>
              <w:t>2024</w:t>
            </w:r>
          </w:p>
        </w:tc>
        <w:tc>
          <w:tcPr>
            <w:tcW w:w="900" w:type="dxa"/>
            <w:tcBorders>
              <w:top w:val="nil"/>
              <w:left w:val="single" w:sz="4" w:space="0" w:color="auto"/>
              <w:bottom w:val="single" w:sz="4" w:space="0" w:color="auto"/>
              <w:right w:val="single" w:sz="4" w:space="0" w:color="auto"/>
            </w:tcBorders>
            <w:shd w:val="clear" w:color="auto" w:fill="B8DBF1" w:themeFill="accent3" w:themeFillTint="66"/>
            <w:vAlign w:val="bottom"/>
            <w:hideMark/>
          </w:tcPr>
          <w:p w14:paraId="4A4E19A0" w14:textId="77777777" w:rsidR="008C47A0" w:rsidRDefault="008C47A0" w:rsidP="00341CE7">
            <w:pPr>
              <w:rPr>
                <w:lang w:val="sq-AL"/>
              </w:rPr>
            </w:pPr>
          </w:p>
          <w:p w14:paraId="3139DAF4" w14:textId="77777777" w:rsidR="008C47A0" w:rsidRPr="00F97B4B" w:rsidRDefault="008C47A0" w:rsidP="00341CE7">
            <w:pPr>
              <w:rPr>
                <w:lang w:val="sq-AL"/>
              </w:rPr>
            </w:pPr>
            <w:r w:rsidRPr="00F97B4B">
              <w:rPr>
                <w:lang w:val="sq-AL"/>
              </w:rPr>
              <w:t>202</w:t>
            </w:r>
            <w:r>
              <w:rPr>
                <w:lang w:val="sq-AL"/>
              </w:rPr>
              <w:t>5</w:t>
            </w:r>
          </w:p>
        </w:tc>
      </w:tr>
      <w:tr w:rsidR="008C47A0" w:rsidRPr="00F97B4B" w14:paraId="1563E836" w14:textId="77777777" w:rsidTr="00117B59">
        <w:trPr>
          <w:trHeight w:val="300"/>
        </w:trPr>
        <w:tc>
          <w:tcPr>
            <w:tcW w:w="1075" w:type="dxa"/>
            <w:tcBorders>
              <w:top w:val="nil"/>
              <w:left w:val="single" w:sz="4" w:space="0" w:color="auto"/>
              <w:bottom w:val="single" w:sz="4" w:space="0" w:color="auto"/>
              <w:right w:val="single" w:sz="4" w:space="0" w:color="auto"/>
            </w:tcBorders>
            <w:noWrap/>
            <w:vAlign w:val="bottom"/>
            <w:hideMark/>
          </w:tcPr>
          <w:p w14:paraId="53247841" w14:textId="21321C6D" w:rsidR="008C47A0" w:rsidRPr="00F97B4B" w:rsidRDefault="00106622" w:rsidP="00341CE7">
            <w:pPr>
              <w:rPr>
                <w:lang w:val="sq-AL"/>
              </w:rPr>
            </w:pPr>
            <w:r>
              <w:rPr>
                <w:lang w:val="sq-AL"/>
              </w:rPr>
              <w:t>Puke</w:t>
            </w:r>
          </w:p>
        </w:tc>
        <w:tc>
          <w:tcPr>
            <w:tcW w:w="720" w:type="dxa"/>
            <w:tcBorders>
              <w:top w:val="nil"/>
              <w:left w:val="nil"/>
              <w:bottom w:val="single" w:sz="4" w:space="0" w:color="auto"/>
              <w:right w:val="single" w:sz="4" w:space="0" w:color="auto"/>
            </w:tcBorders>
            <w:noWrap/>
            <w:vAlign w:val="bottom"/>
            <w:hideMark/>
          </w:tcPr>
          <w:p w14:paraId="39262A82" w14:textId="36EA6C18" w:rsidR="008C47A0" w:rsidRPr="00F97B4B" w:rsidRDefault="00106622" w:rsidP="00341CE7">
            <w:pPr>
              <w:jc w:val="right"/>
              <w:rPr>
                <w:lang w:val="sq-AL"/>
              </w:rPr>
            </w:pPr>
            <w:r>
              <w:rPr>
                <w:lang w:val="sq-AL"/>
              </w:rPr>
              <w:t>3</w:t>
            </w:r>
          </w:p>
        </w:tc>
        <w:tc>
          <w:tcPr>
            <w:tcW w:w="720" w:type="dxa"/>
            <w:tcBorders>
              <w:top w:val="nil"/>
              <w:left w:val="nil"/>
              <w:bottom w:val="single" w:sz="4" w:space="0" w:color="auto"/>
              <w:right w:val="single" w:sz="4" w:space="0" w:color="auto"/>
            </w:tcBorders>
            <w:vAlign w:val="bottom"/>
            <w:hideMark/>
          </w:tcPr>
          <w:p w14:paraId="08398F5A" w14:textId="2179DC2A" w:rsidR="008C47A0" w:rsidRPr="00F97B4B" w:rsidRDefault="00106622" w:rsidP="00341CE7">
            <w:pPr>
              <w:jc w:val="right"/>
              <w:rPr>
                <w:lang w:val="sq-AL"/>
              </w:rPr>
            </w:pPr>
            <w:r>
              <w:rPr>
                <w:lang w:val="sq-AL"/>
              </w:rPr>
              <w:t>3</w:t>
            </w:r>
          </w:p>
        </w:tc>
        <w:tc>
          <w:tcPr>
            <w:tcW w:w="990" w:type="dxa"/>
            <w:tcBorders>
              <w:top w:val="nil"/>
              <w:left w:val="nil"/>
              <w:bottom w:val="single" w:sz="4" w:space="0" w:color="auto"/>
              <w:right w:val="single" w:sz="4" w:space="0" w:color="auto"/>
            </w:tcBorders>
            <w:vAlign w:val="bottom"/>
            <w:hideMark/>
          </w:tcPr>
          <w:p w14:paraId="233D262C" w14:textId="5472550D" w:rsidR="008C47A0" w:rsidRPr="00F97B4B" w:rsidRDefault="00106622" w:rsidP="00341CE7">
            <w:pPr>
              <w:jc w:val="right"/>
              <w:rPr>
                <w:lang w:val="sq-AL"/>
              </w:rPr>
            </w:pPr>
            <w:r>
              <w:rPr>
                <w:lang w:val="sq-AL"/>
              </w:rPr>
              <w:t>2</w:t>
            </w:r>
          </w:p>
        </w:tc>
        <w:tc>
          <w:tcPr>
            <w:tcW w:w="720" w:type="dxa"/>
            <w:tcBorders>
              <w:top w:val="nil"/>
              <w:left w:val="nil"/>
              <w:bottom w:val="single" w:sz="4" w:space="0" w:color="auto"/>
              <w:right w:val="single" w:sz="4" w:space="0" w:color="auto"/>
            </w:tcBorders>
            <w:vAlign w:val="bottom"/>
            <w:hideMark/>
          </w:tcPr>
          <w:p w14:paraId="7BEE1B7B" w14:textId="5583B145" w:rsidR="008C47A0" w:rsidRPr="00F97B4B" w:rsidRDefault="00106622" w:rsidP="00341CE7">
            <w:pPr>
              <w:jc w:val="right"/>
              <w:rPr>
                <w:lang w:val="sq-AL"/>
              </w:rPr>
            </w:pPr>
            <w:r>
              <w:rPr>
                <w:lang w:val="sq-AL"/>
              </w:rPr>
              <w:t>1</w:t>
            </w:r>
          </w:p>
        </w:tc>
        <w:tc>
          <w:tcPr>
            <w:tcW w:w="720" w:type="dxa"/>
            <w:tcBorders>
              <w:top w:val="nil"/>
              <w:left w:val="nil"/>
              <w:bottom w:val="single" w:sz="4" w:space="0" w:color="auto"/>
              <w:right w:val="single" w:sz="4" w:space="0" w:color="auto"/>
            </w:tcBorders>
          </w:tcPr>
          <w:p w14:paraId="78A1320B" w14:textId="77777777" w:rsidR="008C47A0" w:rsidRPr="00F97B4B" w:rsidRDefault="008C47A0" w:rsidP="00341CE7">
            <w:pPr>
              <w:jc w:val="right"/>
              <w:rPr>
                <w:lang w:val="sq-AL"/>
              </w:rPr>
            </w:pPr>
            <w:r>
              <w:rPr>
                <w:lang w:val="sq-AL"/>
              </w:rPr>
              <w:t>2</w:t>
            </w:r>
          </w:p>
        </w:tc>
        <w:tc>
          <w:tcPr>
            <w:tcW w:w="823" w:type="dxa"/>
            <w:tcBorders>
              <w:top w:val="nil"/>
              <w:left w:val="single" w:sz="4" w:space="0" w:color="auto"/>
              <w:bottom w:val="single" w:sz="4" w:space="0" w:color="auto"/>
              <w:right w:val="single" w:sz="4" w:space="0" w:color="auto"/>
            </w:tcBorders>
          </w:tcPr>
          <w:p w14:paraId="5B09D3A5" w14:textId="445E72D4" w:rsidR="008C47A0" w:rsidRPr="00F97B4B" w:rsidRDefault="00106622" w:rsidP="00341CE7">
            <w:pPr>
              <w:jc w:val="right"/>
              <w:rPr>
                <w:lang w:val="sq-AL"/>
              </w:rPr>
            </w:pPr>
            <w:r>
              <w:rPr>
                <w:lang w:val="sq-AL"/>
              </w:rPr>
              <w:t>5</w:t>
            </w:r>
          </w:p>
        </w:tc>
        <w:tc>
          <w:tcPr>
            <w:tcW w:w="696" w:type="dxa"/>
            <w:tcBorders>
              <w:top w:val="nil"/>
              <w:left w:val="single" w:sz="4" w:space="0" w:color="auto"/>
              <w:bottom w:val="single" w:sz="4" w:space="0" w:color="auto"/>
              <w:right w:val="single" w:sz="4" w:space="0" w:color="auto"/>
            </w:tcBorders>
            <w:vAlign w:val="bottom"/>
          </w:tcPr>
          <w:p w14:paraId="23094054" w14:textId="0F87927A" w:rsidR="008C47A0" w:rsidRPr="00F97B4B" w:rsidRDefault="00106622" w:rsidP="00341CE7">
            <w:pPr>
              <w:jc w:val="right"/>
              <w:rPr>
                <w:lang w:val="sq-AL"/>
              </w:rPr>
            </w:pPr>
            <w:r>
              <w:rPr>
                <w:lang w:val="sq-AL"/>
              </w:rPr>
              <w:t>1</w:t>
            </w:r>
          </w:p>
        </w:tc>
        <w:tc>
          <w:tcPr>
            <w:tcW w:w="696" w:type="dxa"/>
            <w:tcBorders>
              <w:top w:val="nil"/>
              <w:left w:val="nil"/>
              <w:bottom w:val="single" w:sz="4" w:space="0" w:color="auto"/>
              <w:right w:val="single" w:sz="4" w:space="0" w:color="auto"/>
            </w:tcBorders>
            <w:vAlign w:val="bottom"/>
          </w:tcPr>
          <w:p w14:paraId="34F592C2" w14:textId="44F5B444" w:rsidR="008C47A0" w:rsidRPr="00F97B4B" w:rsidRDefault="00106622" w:rsidP="00341CE7">
            <w:pPr>
              <w:jc w:val="right"/>
              <w:rPr>
                <w:lang w:val="sq-AL"/>
              </w:rPr>
            </w:pPr>
            <w:r>
              <w:rPr>
                <w:lang w:val="sq-AL"/>
              </w:rPr>
              <w:t>2</w:t>
            </w:r>
          </w:p>
        </w:tc>
        <w:tc>
          <w:tcPr>
            <w:tcW w:w="696" w:type="dxa"/>
            <w:tcBorders>
              <w:top w:val="nil"/>
              <w:left w:val="nil"/>
              <w:bottom w:val="single" w:sz="4" w:space="0" w:color="auto"/>
              <w:right w:val="single" w:sz="4" w:space="0" w:color="auto"/>
            </w:tcBorders>
            <w:vAlign w:val="bottom"/>
          </w:tcPr>
          <w:p w14:paraId="4C0BF7D0" w14:textId="3240F966" w:rsidR="008C47A0" w:rsidRPr="00F97B4B" w:rsidRDefault="00106622" w:rsidP="00341CE7">
            <w:pPr>
              <w:jc w:val="right"/>
              <w:rPr>
                <w:lang w:val="sq-AL"/>
              </w:rPr>
            </w:pPr>
            <w:r>
              <w:rPr>
                <w:lang w:val="sq-AL"/>
              </w:rPr>
              <w:t>1</w:t>
            </w:r>
          </w:p>
        </w:tc>
        <w:tc>
          <w:tcPr>
            <w:tcW w:w="779" w:type="dxa"/>
            <w:tcBorders>
              <w:top w:val="single" w:sz="4" w:space="0" w:color="auto"/>
              <w:left w:val="nil"/>
              <w:bottom w:val="single" w:sz="4" w:space="0" w:color="auto"/>
              <w:right w:val="single" w:sz="4" w:space="0" w:color="auto"/>
            </w:tcBorders>
          </w:tcPr>
          <w:p w14:paraId="022ED084" w14:textId="51132E7D" w:rsidR="008C47A0" w:rsidRPr="00F97B4B" w:rsidRDefault="00106622" w:rsidP="00341CE7">
            <w:pPr>
              <w:jc w:val="right"/>
              <w:rPr>
                <w:lang w:val="sq-AL"/>
              </w:rPr>
            </w:pPr>
            <w:r>
              <w:rPr>
                <w:lang w:val="sq-AL"/>
              </w:rPr>
              <w:t>1</w:t>
            </w:r>
          </w:p>
        </w:tc>
        <w:tc>
          <w:tcPr>
            <w:tcW w:w="720" w:type="dxa"/>
            <w:tcBorders>
              <w:top w:val="nil"/>
              <w:left w:val="single" w:sz="4" w:space="0" w:color="auto"/>
              <w:bottom w:val="single" w:sz="4" w:space="0" w:color="auto"/>
              <w:right w:val="single" w:sz="4" w:space="0" w:color="auto"/>
            </w:tcBorders>
          </w:tcPr>
          <w:p w14:paraId="59020549" w14:textId="4AE065D6" w:rsidR="008C47A0" w:rsidRPr="00F97B4B" w:rsidRDefault="00106622" w:rsidP="00341CE7">
            <w:pPr>
              <w:jc w:val="right"/>
              <w:rPr>
                <w:lang w:val="sq-AL"/>
              </w:rPr>
            </w:pPr>
            <w:r>
              <w:rPr>
                <w:lang w:val="sq-AL"/>
              </w:rPr>
              <w:t>3</w:t>
            </w:r>
          </w:p>
        </w:tc>
        <w:tc>
          <w:tcPr>
            <w:tcW w:w="900" w:type="dxa"/>
            <w:tcBorders>
              <w:top w:val="nil"/>
              <w:left w:val="single" w:sz="4" w:space="0" w:color="auto"/>
              <w:bottom w:val="single" w:sz="4" w:space="0" w:color="auto"/>
              <w:right w:val="single" w:sz="4" w:space="0" w:color="auto"/>
            </w:tcBorders>
          </w:tcPr>
          <w:p w14:paraId="3D91973E" w14:textId="1FE95C57" w:rsidR="008C47A0" w:rsidRPr="00F97B4B" w:rsidRDefault="00117B59" w:rsidP="00341CE7">
            <w:pPr>
              <w:jc w:val="right"/>
              <w:rPr>
                <w:lang w:val="sq-AL"/>
              </w:rPr>
            </w:pPr>
            <w:r>
              <w:rPr>
                <w:lang w:val="sq-AL"/>
              </w:rPr>
              <w:t>3</w:t>
            </w:r>
          </w:p>
        </w:tc>
      </w:tr>
      <w:tr w:rsidR="008C47A0" w:rsidRPr="00F97B4B" w14:paraId="3DB3606B" w14:textId="77777777" w:rsidTr="00117B59">
        <w:trPr>
          <w:trHeight w:val="300"/>
        </w:trPr>
        <w:tc>
          <w:tcPr>
            <w:tcW w:w="1075" w:type="dxa"/>
            <w:tcBorders>
              <w:top w:val="nil"/>
              <w:left w:val="single" w:sz="4" w:space="0" w:color="auto"/>
              <w:bottom w:val="single" w:sz="4" w:space="0" w:color="auto"/>
              <w:right w:val="single" w:sz="4" w:space="0" w:color="auto"/>
            </w:tcBorders>
            <w:noWrap/>
            <w:vAlign w:val="bottom"/>
            <w:hideMark/>
          </w:tcPr>
          <w:p w14:paraId="34D02C6B" w14:textId="0F1116CF" w:rsidR="008C47A0" w:rsidRPr="00F97B4B" w:rsidRDefault="00117B59" w:rsidP="00341CE7">
            <w:pPr>
              <w:rPr>
                <w:lang w:val="sq-AL"/>
              </w:rPr>
            </w:pPr>
            <w:r>
              <w:rPr>
                <w:lang w:val="sq-AL"/>
              </w:rPr>
              <w:lastRenderedPageBreak/>
              <w:t>Gjejgjan</w:t>
            </w:r>
          </w:p>
        </w:tc>
        <w:tc>
          <w:tcPr>
            <w:tcW w:w="720" w:type="dxa"/>
            <w:tcBorders>
              <w:top w:val="nil"/>
              <w:left w:val="nil"/>
              <w:bottom w:val="single" w:sz="4" w:space="0" w:color="auto"/>
              <w:right w:val="single" w:sz="4" w:space="0" w:color="auto"/>
            </w:tcBorders>
            <w:noWrap/>
            <w:vAlign w:val="bottom"/>
          </w:tcPr>
          <w:p w14:paraId="3144E5AE" w14:textId="77777777" w:rsidR="008C47A0" w:rsidRPr="00F97B4B" w:rsidRDefault="008C47A0" w:rsidP="00341CE7">
            <w:pPr>
              <w:jc w:val="right"/>
              <w:rPr>
                <w:lang w:val="sq-AL"/>
              </w:rPr>
            </w:pPr>
            <w:r w:rsidRPr="00F97B4B">
              <w:rPr>
                <w:sz w:val="22"/>
                <w:szCs w:val="22"/>
              </w:rPr>
              <w:t>1</w:t>
            </w:r>
          </w:p>
        </w:tc>
        <w:tc>
          <w:tcPr>
            <w:tcW w:w="720" w:type="dxa"/>
            <w:tcBorders>
              <w:top w:val="nil"/>
              <w:left w:val="nil"/>
              <w:bottom w:val="single" w:sz="4" w:space="0" w:color="auto"/>
              <w:right w:val="single" w:sz="4" w:space="0" w:color="auto"/>
            </w:tcBorders>
            <w:vAlign w:val="bottom"/>
          </w:tcPr>
          <w:p w14:paraId="3B2C11C3" w14:textId="77777777" w:rsidR="008C47A0" w:rsidRPr="00F97B4B" w:rsidRDefault="008C47A0" w:rsidP="00341CE7">
            <w:pPr>
              <w:jc w:val="right"/>
              <w:rPr>
                <w:lang w:val="sq-AL"/>
              </w:rPr>
            </w:pPr>
            <w:r w:rsidRPr="00F97B4B">
              <w:rPr>
                <w:sz w:val="22"/>
                <w:szCs w:val="22"/>
              </w:rPr>
              <w:t>2</w:t>
            </w:r>
          </w:p>
        </w:tc>
        <w:tc>
          <w:tcPr>
            <w:tcW w:w="990" w:type="dxa"/>
            <w:tcBorders>
              <w:top w:val="nil"/>
              <w:left w:val="nil"/>
              <w:bottom w:val="single" w:sz="4" w:space="0" w:color="auto"/>
              <w:right w:val="single" w:sz="4" w:space="0" w:color="auto"/>
            </w:tcBorders>
            <w:vAlign w:val="bottom"/>
          </w:tcPr>
          <w:p w14:paraId="24B23F9B" w14:textId="77777777" w:rsidR="008C47A0" w:rsidRPr="00F97B4B" w:rsidRDefault="008C47A0" w:rsidP="00341CE7">
            <w:pPr>
              <w:jc w:val="right"/>
              <w:rPr>
                <w:lang w:val="sq-AL"/>
              </w:rPr>
            </w:pPr>
            <w:r w:rsidRPr="00F97B4B">
              <w:rPr>
                <w:sz w:val="22"/>
                <w:szCs w:val="22"/>
              </w:rPr>
              <w:t>1</w:t>
            </w:r>
          </w:p>
        </w:tc>
        <w:tc>
          <w:tcPr>
            <w:tcW w:w="720" w:type="dxa"/>
            <w:tcBorders>
              <w:top w:val="nil"/>
              <w:left w:val="nil"/>
              <w:bottom w:val="single" w:sz="4" w:space="0" w:color="auto"/>
              <w:right w:val="single" w:sz="4" w:space="0" w:color="auto"/>
            </w:tcBorders>
            <w:vAlign w:val="bottom"/>
          </w:tcPr>
          <w:p w14:paraId="653EE803" w14:textId="77777777" w:rsidR="008C47A0" w:rsidRPr="00F97B4B" w:rsidRDefault="008C47A0" w:rsidP="00341CE7">
            <w:pPr>
              <w:jc w:val="right"/>
              <w:rPr>
                <w:lang w:val="sq-AL"/>
              </w:rPr>
            </w:pPr>
            <w:r w:rsidRPr="00F97B4B">
              <w:rPr>
                <w:sz w:val="22"/>
                <w:szCs w:val="22"/>
              </w:rPr>
              <w:t>1</w:t>
            </w:r>
          </w:p>
        </w:tc>
        <w:tc>
          <w:tcPr>
            <w:tcW w:w="720" w:type="dxa"/>
            <w:tcBorders>
              <w:top w:val="nil"/>
              <w:left w:val="nil"/>
              <w:bottom w:val="single" w:sz="4" w:space="0" w:color="auto"/>
              <w:right w:val="single" w:sz="4" w:space="0" w:color="auto"/>
            </w:tcBorders>
          </w:tcPr>
          <w:p w14:paraId="3957989A" w14:textId="26302D61" w:rsidR="008C47A0" w:rsidRPr="00F97B4B" w:rsidRDefault="00117B59" w:rsidP="00341CE7">
            <w:pPr>
              <w:jc w:val="right"/>
              <w:rPr>
                <w:lang w:val="sq-AL"/>
              </w:rPr>
            </w:pPr>
            <w:r>
              <w:rPr>
                <w:lang w:val="sq-AL"/>
              </w:rPr>
              <w:t>2</w:t>
            </w:r>
          </w:p>
        </w:tc>
        <w:tc>
          <w:tcPr>
            <w:tcW w:w="823" w:type="dxa"/>
            <w:tcBorders>
              <w:top w:val="nil"/>
              <w:left w:val="single" w:sz="4" w:space="0" w:color="auto"/>
              <w:bottom w:val="single" w:sz="4" w:space="0" w:color="auto"/>
              <w:right w:val="single" w:sz="4" w:space="0" w:color="auto"/>
            </w:tcBorders>
          </w:tcPr>
          <w:p w14:paraId="708619CB" w14:textId="77777777" w:rsidR="008C47A0" w:rsidRPr="00F97B4B" w:rsidRDefault="008C47A0" w:rsidP="00341CE7">
            <w:pPr>
              <w:jc w:val="right"/>
              <w:rPr>
                <w:lang w:val="sq-AL"/>
              </w:rPr>
            </w:pPr>
            <w:r>
              <w:rPr>
                <w:lang w:val="sq-AL"/>
              </w:rPr>
              <w:t>1</w:t>
            </w:r>
          </w:p>
        </w:tc>
        <w:tc>
          <w:tcPr>
            <w:tcW w:w="696" w:type="dxa"/>
            <w:tcBorders>
              <w:top w:val="nil"/>
              <w:left w:val="single" w:sz="4" w:space="0" w:color="auto"/>
              <w:bottom w:val="single" w:sz="4" w:space="0" w:color="auto"/>
              <w:right w:val="single" w:sz="4" w:space="0" w:color="auto"/>
            </w:tcBorders>
            <w:vAlign w:val="bottom"/>
          </w:tcPr>
          <w:p w14:paraId="63987662" w14:textId="20B36BA0" w:rsidR="008C47A0" w:rsidRPr="00F97B4B" w:rsidRDefault="00117B59" w:rsidP="00341CE7">
            <w:pPr>
              <w:jc w:val="right"/>
              <w:rPr>
                <w:lang w:val="sq-AL"/>
              </w:rPr>
            </w:pPr>
            <w:r>
              <w:rPr>
                <w:lang w:val="sq-AL"/>
              </w:rPr>
              <w:t>1</w:t>
            </w:r>
          </w:p>
        </w:tc>
        <w:tc>
          <w:tcPr>
            <w:tcW w:w="696" w:type="dxa"/>
            <w:tcBorders>
              <w:top w:val="nil"/>
              <w:left w:val="nil"/>
              <w:bottom w:val="single" w:sz="4" w:space="0" w:color="auto"/>
              <w:right w:val="single" w:sz="4" w:space="0" w:color="auto"/>
            </w:tcBorders>
            <w:vAlign w:val="bottom"/>
          </w:tcPr>
          <w:p w14:paraId="6B026E55" w14:textId="656C6ECA" w:rsidR="008C47A0" w:rsidRPr="00F97B4B" w:rsidRDefault="00117B59" w:rsidP="00341CE7">
            <w:pPr>
              <w:jc w:val="right"/>
              <w:rPr>
                <w:lang w:val="sq-AL"/>
              </w:rPr>
            </w:pPr>
            <w:r>
              <w:rPr>
                <w:lang w:val="sq-AL"/>
              </w:rPr>
              <w:t>1</w:t>
            </w:r>
          </w:p>
        </w:tc>
        <w:tc>
          <w:tcPr>
            <w:tcW w:w="696" w:type="dxa"/>
            <w:tcBorders>
              <w:top w:val="nil"/>
              <w:left w:val="nil"/>
              <w:bottom w:val="single" w:sz="4" w:space="0" w:color="auto"/>
              <w:right w:val="single" w:sz="4" w:space="0" w:color="auto"/>
            </w:tcBorders>
            <w:vAlign w:val="bottom"/>
          </w:tcPr>
          <w:p w14:paraId="574F9FD3" w14:textId="0BE332D2" w:rsidR="008C47A0" w:rsidRPr="00F97B4B" w:rsidRDefault="008C47A0" w:rsidP="00341CE7">
            <w:pPr>
              <w:jc w:val="right"/>
              <w:rPr>
                <w:lang w:val="sq-AL"/>
              </w:rPr>
            </w:pPr>
          </w:p>
        </w:tc>
        <w:tc>
          <w:tcPr>
            <w:tcW w:w="779" w:type="dxa"/>
            <w:tcBorders>
              <w:top w:val="single" w:sz="4" w:space="0" w:color="auto"/>
              <w:left w:val="nil"/>
              <w:bottom w:val="single" w:sz="4" w:space="0" w:color="auto"/>
              <w:right w:val="single" w:sz="4" w:space="0" w:color="auto"/>
            </w:tcBorders>
          </w:tcPr>
          <w:p w14:paraId="24B33FB0" w14:textId="26216A4C" w:rsidR="008C47A0" w:rsidRPr="00F97B4B" w:rsidRDefault="008C47A0" w:rsidP="00341CE7">
            <w:pPr>
              <w:jc w:val="right"/>
              <w:rPr>
                <w:lang w:val="sq-AL"/>
              </w:rPr>
            </w:pPr>
          </w:p>
        </w:tc>
        <w:tc>
          <w:tcPr>
            <w:tcW w:w="720" w:type="dxa"/>
            <w:tcBorders>
              <w:top w:val="nil"/>
              <w:left w:val="single" w:sz="4" w:space="0" w:color="auto"/>
              <w:bottom w:val="single" w:sz="4" w:space="0" w:color="auto"/>
              <w:right w:val="single" w:sz="4" w:space="0" w:color="auto"/>
            </w:tcBorders>
          </w:tcPr>
          <w:p w14:paraId="0B9F1B35" w14:textId="3AEBEDCF" w:rsidR="008C47A0" w:rsidRPr="00F97B4B" w:rsidRDefault="00117B59" w:rsidP="00341CE7">
            <w:pPr>
              <w:jc w:val="right"/>
              <w:rPr>
                <w:lang w:val="sq-AL"/>
              </w:rPr>
            </w:pPr>
            <w:r>
              <w:rPr>
                <w:lang w:val="sq-AL"/>
              </w:rPr>
              <w:t>1</w:t>
            </w:r>
          </w:p>
        </w:tc>
        <w:tc>
          <w:tcPr>
            <w:tcW w:w="900" w:type="dxa"/>
            <w:tcBorders>
              <w:top w:val="nil"/>
              <w:left w:val="single" w:sz="4" w:space="0" w:color="auto"/>
              <w:bottom w:val="single" w:sz="4" w:space="0" w:color="auto"/>
              <w:right w:val="single" w:sz="4" w:space="0" w:color="auto"/>
            </w:tcBorders>
          </w:tcPr>
          <w:p w14:paraId="71E372AE" w14:textId="77777777" w:rsidR="008C47A0" w:rsidRPr="00F97B4B" w:rsidRDefault="008C47A0" w:rsidP="00341CE7">
            <w:pPr>
              <w:jc w:val="right"/>
              <w:rPr>
                <w:lang w:val="sq-AL"/>
              </w:rPr>
            </w:pPr>
            <w:r w:rsidRPr="00075B78">
              <w:t>1</w:t>
            </w:r>
          </w:p>
        </w:tc>
      </w:tr>
      <w:tr w:rsidR="008C47A0" w:rsidRPr="00F97B4B" w14:paraId="144B324F" w14:textId="77777777" w:rsidTr="00117B59">
        <w:trPr>
          <w:trHeight w:val="300"/>
        </w:trPr>
        <w:tc>
          <w:tcPr>
            <w:tcW w:w="1075" w:type="dxa"/>
            <w:tcBorders>
              <w:top w:val="nil"/>
              <w:left w:val="single" w:sz="4" w:space="0" w:color="auto"/>
              <w:bottom w:val="single" w:sz="4" w:space="0" w:color="auto"/>
              <w:right w:val="single" w:sz="4" w:space="0" w:color="auto"/>
            </w:tcBorders>
            <w:noWrap/>
            <w:vAlign w:val="bottom"/>
            <w:hideMark/>
          </w:tcPr>
          <w:p w14:paraId="2586AF3B" w14:textId="72574C46" w:rsidR="008C47A0" w:rsidRPr="00F97B4B" w:rsidRDefault="00117B59" w:rsidP="00341CE7">
            <w:pPr>
              <w:rPr>
                <w:lang w:val="sq-AL"/>
              </w:rPr>
            </w:pPr>
            <w:r>
              <w:rPr>
                <w:lang w:val="sq-AL"/>
              </w:rPr>
              <w:t>Rrape</w:t>
            </w:r>
          </w:p>
        </w:tc>
        <w:tc>
          <w:tcPr>
            <w:tcW w:w="720" w:type="dxa"/>
            <w:tcBorders>
              <w:top w:val="nil"/>
              <w:left w:val="nil"/>
              <w:bottom w:val="single" w:sz="4" w:space="0" w:color="auto"/>
              <w:right w:val="single" w:sz="4" w:space="0" w:color="auto"/>
            </w:tcBorders>
            <w:noWrap/>
            <w:vAlign w:val="bottom"/>
            <w:hideMark/>
          </w:tcPr>
          <w:p w14:paraId="3AFD336A" w14:textId="77777777" w:rsidR="008C47A0" w:rsidRPr="00F97B4B" w:rsidRDefault="008C47A0" w:rsidP="00341CE7">
            <w:pPr>
              <w:jc w:val="right"/>
              <w:rPr>
                <w:lang w:val="sq-AL"/>
              </w:rPr>
            </w:pPr>
          </w:p>
        </w:tc>
        <w:tc>
          <w:tcPr>
            <w:tcW w:w="720" w:type="dxa"/>
            <w:tcBorders>
              <w:top w:val="nil"/>
              <w:left w:val="nil"/>
              <w:bottom w:val="single" w:sz="4" w:space="0" w:color="auto"/>
              <w:right w:val="single" w:sz="4" w:space="0" w:color="auto"/>
            </w:tcBorders>
            <w:vAlign w:val="bottom"/>
            <w:hideMark/>
          </w:tcPr>
          <w:p w14:paraId="1EAA4034" w14:textId="1A160FAB" w:rsidR="008C47A0" w:rsidRPr="00F97B4B" w:rsidRDefault="008C47A0" w:rsidP="00341CE7">
            <w:pPr>
              <w:jc w:val="right"/>
              <w:rPr>
                <w:lang w:val="sq-AL"/>
              </w:rPr>
            </w:pPr>
          </w:p>
        </w:tc>
        <w:tc>
          <w:tcPr>
            <w:tcW w:w="990" w:type="dxa"/>
            <w:tcBorders>
              <w:top w:val="nil"/>
              <w:left w:val="nil"/>
              <w:bottom w:val="single" w:sz="4" w:space="0" w:color="auto"/>
              <w:right w:val="single" w:sz="4" w:space="0" w:color="auto"/>
            </w:tcBorders>
            <w:vAlign w:val="bottom"/>
            <w:hideMark/>
          </w:tcPr>
          <w:p w14:paraId="046DC471" w14:textId="77777777" w:rsidR="008C47A0" w:rsidRPr="00F97B4B" w:rsidRDefault="008C47A0" w:rsidP="00341CE7">
            <w:pPr>
              <w:jc w:val="right"/>
              <w:rPr>
                <w:lang w:val="sq-AL"/>
              </w:rPr>
            </w:pPr>
            <w:r w:rsidRPr="00F97B4B">
              <w:rPr>
                <w:sz w:val="22"/>
                <w:szCs w:val="22"/>
              </w:rPr>
              <w:t> </w:t>
            </w:r>
          </w:p>
        </w:tc>
        <w:tc>
          <w:tcPr>
            <w:tcW w:w="720" w:type="dxa"/>
            <w:tcBorders>
              <w:top w:val="nil"/>
              <w:left w:val="nil"/>
              <w:bottom w:val="single" w:sz="4" w:space="0" w:color="auto"/>
              <w:right w:val="single" w:sz="4" w:space="0" w:color="auto"/>
            </w:tcBorders>
            <w:vAlign w:val="bottom"/>
            <w:hideMark/>
          </w:tcPr>
          <w:p w14:paraId="0215C359" w14:textId="1AF8264A" w:rsidR="008C47A0" w:rsidRPr="00F97B4B" w:rsidRDefault="00117B59" w:rsidP="00341CE7">
            <w:pPr>
              <w:jc w:val="right"/>
              <w:rPr>
                <w:lang w:val="sq-AL"/>
              </w:rPr>
            </w:pPr>
            <w:r>
              <w:rPr>
                <w:lang w:val="sq-AL"/>
              </w:rPr>
              <w:t>1</w:t>
            </w:r>
          </w:p>
        </w:tc>
        <w:tc>
          <w:tcPr>
            <w:tcW w:w="720" w:type="dxa"/>
            <w:tcBorders>
              <w:top w:val="nil"/>
              <w:left w:val="nil"/>
              <w:bottom w:val="single" w:sz="4" w:space="0" w:color="auto"/>
              <w:right w:val="single" w:sz="4" w:space="0" w:color="auto"/>
            </w:tcBorders>
          </w:tcPr>
          <w:p w14:paraId="17F3EBD3" w14:textId="77777777" w:rsidR="008C47A0" w:rsidRPr="00F97B4B" w:rsidRDefault="008C47A0" w:rsidP="00341CE7">
            <w:pPr>
              <w:jc w:val="right"/>
              <w:rPr>
                <w:lang w:val="sq-AL"/>
              </w:rPr>
            </w:pPr>
            <w:r>
              <w:rPr>
                <w:lang w:val="sq-AL"/>
              </w:rPr>
              <w:t>1</w:t>
            </w:r>
          </w:p>
        </w:tc>
        <w:tc>
          <w:tcPr>
            <w:tcW w:w="823" w:type="dxa"/>
            <w:tcBorders>
              <w:top w:val="nil"/>
              <w:left w:val="single" w:sz="4" w:space="0" w:color="auto"/>
              <w:bottom w:val="single" w:sz="4" w:space="0" w:color="auto"/>
              <w:right w:val="single" w:sz="4" w:space="0" w:color="auto"/>
            </w:tcBorders>
          </w:tcPr>
          <w:p w14:paraId="03AAC3DE" w14:textId="77777777" w:rsidR="008C47A0" w:rsidRPr="00F97B4B" w:rsidRDefault="008C47A0" w:rsidP="00341CE7">
            <w:pPr>
              <w:jc w:val="right"/>
              <w:rPr>
                <w:lang w:val="sq-AL"/>
              </w:rPr>
            </w:pPr>
            <w:r>
              <w:rPr>
                <w:lang w:val="sq-AL"/>
              </w:rPr>
              <w:t>1</w:t>
            </w:r>
          </w:p>
        </w:tc>
        <w:tc>
          <w:tcPr>
            <w:tcW w:w="696" w:type="dxa"/>
            <w:tcBorders>
              <w:top w:val="nil"/>
              <w:left w:val="single" w:sz="4" w:space="0" w:color="auto"/>
              <w:bottom w:val="single" w:sz="4" w:space="0" w:color="auto"/>
              <w:right w:val="single" w:sz="4" w:space="0" w:color="auto"/>
            </w:tcBorders>
            <w:vAlign w:val="bottom"/>
          </w:tcPr>
          <w:p w14:paraId="4928C755" w14:textId="77777777" w:rsidR="008C47A0" w:rsidRPr="00F97B4B" w:rsidRDefault="008C47A0" w:rsidP="00341CE7">
            <w:pPr>
              <w:jc w:val="right"/>
              <w:rPr>
                <w:lang w:val="sq-AL"/>
              </w:rPr>
            </w:pPr>
            <w:r w:rsidRPr="00F97B4B">
              <w:rPr>
                <w:lang w:val="sq-AL"/>
              </w:rPr>
              <w:t>0</w:t>
            </w:r>
          </w:p>
        </w:tc>
        <w:tc>
          <w:tcPr>
            <w:tcW w:w="696" w:type="dxa"/>
            <w:tcBorders>
              <w:top w:val="nil"/>
              <w:left w:val="nil"/>
              <w:bottom w:val="single" w:sz="4" w:space="0" w:color="auto"/>
              <w:right w:val="single" w:sz="4" w:space="0" w:color="auto"/>
            </w:tcBorders>
            <w:vAlign w:val="bottom"/>
          </w:tcPr>
          <w:p w14:paraId="3C73DDBF" w14:textId="77777777" w:rsidR="008C47A0" w:rsidRPr="00F97B4B" w:rsidRDefault="008C47A0" w:rsidP="00341CE7">
            <w:pPr>
              <w:jc w:val="right"/>
              <w:rPr>
                <w:lang w:val="sq-AL"/>
              </w:rPr>
            </w:pPr>
            <w:r w:rsidRPr="00F97B4B">
              <w:rPr>
                <w:lang w:val="sq-AL"/>
              </w:rPr>
              <w:t>0</w:t>
            </w:r>
          </w:p>
        </w:tc>
        <w:tc>
          <w:tcPr>
            <w:tcW w:w="696" w:type="dxa"/>
            <w:tcBorders>
              <w:top w:val="nil"/>
              <w:left w:val="nil"/>
              <w:bottom w:val="single" w:sz="4" w:space="0" w:color="auto"/>
              <w:right w:val="single" w:sz="4" w:space="0" w:color="auto"/>
            </w:tcBorders>
            <w:vAlign w:val="bottom"/>
          </w:tcPr>
          <w:p w14:paraId="440EC85F" w14:textId="77777777" w:rsidR="008C47A0" w:rsidRPr="00F97B4B" w:rsidRDefault="008C47A0" w:rsidP="00341CE7">
            <w:pPr>
              <w:jc w:val="right"/>
              <w:rPr>
                <w:lang w:val="sq-AL"/>
              </w:rPr>
            </w:pPr>
            <w:r w:rsidRPr="00F97B4B">
              <w:rPr>
                <w:lang w:val="sq-AL"/>
              </w:rPr>
              <w:t>0</w:t>
            </w:r>
          </w:p>
        </w:tc>
        <w:tc>
          <w:tcPr>
            <w:tcW w:w="779" w:type="dxa"/>
            <w:tcBorders>
              <w:top w:val="single" w:sz="4" w:space="0" w:color="auto"/>
              <w:left w:val="nil"/>
              <w:bottom w:val="single" w:sz="4" w:space="0" w:color="auto"/>
              <w:right w:val="single" w:sz="4" w:space="0" w:color="auto"/>
            </w:tcBorders>
          </w:tcPr>
          <w:p w14:paraId="0629B224" w14:textId="34FDDA56" w:rsidR="008C47A0" w:rsidRPr="00F97B4B" w:rsidRDefault="00117B59" w:rsidP="00341CE7">
            <w:pPr>
              <w:jc w:val="right"/>
              <w:rPr>
                <w:lang w:val="sq-AL"/>
              </w:rPr>
            </w:pPr>
            <w:r>
              <w:rPr>
                <w:lang w:val="sq-AL"/>
              </w:rPr>
              <w:t>1</w:t>
            </w:r>
          </w:p>
        </w:tc>
        <w:tc>
          <w:tcPr>
            <w:tcW w:w="720" w:type="dxa"/>
            <w:tcBorders>
              <w:top w:val="nil"/>
              <w:left w:val="single" w:sz="4" w:space="0" w:color="auto"/>
              <w:bottom w:val="single" w:sz="4" w:space="0" w:color="auto"/>
              <w:right w:val="single" w:sz="4" w:space="0" w:color="auto"/>
            </w:tcBorders>
          </w:tcPr>
          <w:p w14:paraId="08A3C973" w14:textId="77777777" w:rsidR="008C47A0" w:rsidRPr="00F97B4B" w:rsidRDefault="008C47A0" w:rsidP="00341CE7">
            <w:pPr>
              <w:jc w:val="right"/>
              <w:rPr>
                <w:lang w:val="sq-AL"/>
              </w:rPr>
            </w:pPr>
            <w:r w:rsidRPr="00075B78">
              <w:t>1</w:t>
            </w:r>
          </w:p>
        </w:tc>
        <w:tc>
          <w:tcPr>
            <w:tcW w:w="900" w:type="dxa"/>
            <w:tcBorders>
              <w:top w:val="nil"/>
              <w:left w:val="single" w:sz="4" w:space="0" w:color="auto"/>
              <w:bottom w:val="single" w:sz="4" w:space="0" w:color="auto"/>
              <w:right w:val="single" w:sz="4" w:space="0" w:color="auto"/>
            </w:tcBorders>
          </w:tcPr>
          <w:p w14:paraId="0E74075D" w14:textId="77777777" w:rsidR="008C47A0" w:rsidRPr="00F97B4B" w:rsidRDefault="008C47A0" w:rsidP="00341CE7">
            <w:pPr>
              <w:jc w:val="right"/>
              <w:rPr>
                <w:lang w:val="sq-AL"/>
              </w:rPr>
            </w:pPr>
            <w:r w:rsidRPr="00075B78">
              <w:t>1</w:t>
            </w:r>
          </w:p>
        </w:tc>
      </w:tr>
      <w:tr w:rsidR="008C47A0" w:rsidRPr="00F97B4B" w14:paraId="3D3AACBC" w14:textId="77777777" w:rsidTr="00117B59">
        <w:trPr>
          <w:trHeight w:val="300"/>
        </w:trPr>
        <w:tc>
          <w:tcPr>
            <w:tcW w:w="1075" w:type="dxa"/>
            <w:tcBorders>
              <w:top w:val="nil"/>
              <w:left w:val="single" w:sz="4" w:space="0" w:color="auto"/>
              <w:bottom w:val="single" w:sz="4" w:space="0" w:color="auto"/>
              <w:right w:val="single" w:sz="4" w:space="0" w:color="auto"/>
            </w:tcBorders>
            <w:noWrap/>
            <w:vAlign w:val="bottom"/>
            <w:hideMark/>
          </w:tcPr>
          <w:p w14:paraId="23D5CB08" w14:textId="63518718" w:rsidR="008C47A0" w:rsidRPr="00F97B4B" w:rsidRDefault="00117B59" w:rsidP="00341CE7">
            <w:pPr>
              <w:rPr>
                <w:lang w:val="sq-AL"/>
              </w:rPr>
            </w:pPr>
            <w:r>
              <w:rPr>
                <w:lang w:val="sq-AL"/>
              </w:rPr>
              <w:t>Qelez</w:t>
            </w:r>
          </w:p>
        </w:tc>
        <w:tc>
          <w:tcPr>
            <w:tcW w:w="720" w:type="dxa"/>
            <w:tcBorders>
              <w:top w:val="nil"/>
              <w:left w:val="nil"/>
              <w:bottom w:val="single" w:sz="4" w:space="0" w:color="auto"/>
              <w:right w:val="single" w:sz="4" w:space="0" w:color="auto"/>
            </w:tcBorders>
            <w:noWrap/>
            <w:vAlign w:val="bottom"/>
          </w:tcPr>
          <w:p w14:paraId="5BDAAC93" w14:textId="77777777" w:rsidR="008C47A0" w:rsidRPr="00F97B4B" w:rsidRDefault="008C47A0" w:rsidP="00341CE7">
            <w:pPr>
              <w:jc w:val="right"/>
              <w:rPr>
                <w:lang w:val="sq-AL"/>
              </w:rPr>
            </w:pPr>
          </w:p>
        </w:tc>
        <w:tc>
          <w:tcPr>
            <w:tcW w:w="720" w:type="dxa"/>
            <w:tcBorders>
              <w:top w:val="nil"/>
              <w:left w:val="nil"/>
              <w:bottom w:val="single" w:sz="4" w:space="0" w:color="auto"/>
              <w:right w:val="single" w:sz="4" w:space="0" w:color="auto"/>
            </w:tcBorders>
            <w:vAlign w:val="bottom"/>
          </w:tcPr>
          <w:p w14:paraId="6F1B65DB" w14:textId="77777777" w:rsidR="008C47A0" w:rsidRPr="00F97B4B" w:rsidRDefault="008C47A0" w:rsidP="00341CE7">
            <w:pPr>
              <w:jc w:val="right"/>
              <w:rPr>
                <w:lang w:val="sq-AL"/>
              </w:rPr>
            </w:pPr>
          </w:p>
        </w:tc>
        <w:tc>
          <w:tcPr>
            <w:tcW w:w="990" w:type="dxa"/>
            <w:tcBorders>
              <w:top w:val="nil"/>
              <w:left w:val="nil"/>
              <w:bottom w:val="single" w:sz="4" w:space="0" w:color="auto"/>
              <w:right w:val="single" w:sz="4" w:space="0" w:color="auto"/>
            </w:tcBorders>
            <w:vAlign w:val="bottom"/>
          </w:tcPr>
          <w:p w14:paraId="091F7654" w14:textId="77777777" w:rsidR="008C47A0" w:rsidRPr="00F97B4B" w:rsidRDefault="008C47A0" w:rsidP="00341CE7">
            <w:pPr>
              <w:jc w:val="right"/>
              <w:rPr>
                <w:lang w:val="sq-AL"/>
              </w:rPr>
            </w:pPr>
          </w:p>
        </w:tc>
        <w:tc>
          <w:tcPr>
            <w:tcW w:w="720" w:type="dxa"/>
            <w:tcBorders>
              <w:top w:val="nil"/>
              <w:left w:val="nil"/>
              <w:bottom w:val="single" w:sz="4" w:space="0" w:color="auto"/>
              <w:right w:val="single" w:sz="4" w:space="0" w:color="auto"/>
            </w:tcBorders>
            <w:vAlign w:val="bottom"/>
          </w:tcPr>
          <w:p w14:paraId="170B1A0F" w14:textId="77777777" w:rsidR="008C47A0" w:rsidRPr="00F97B4B" w:rsidRDefault="008C47A0" w:rsidP="00341CE7">
            <w:pPr>
              <w:jc w:val="right"/>
              <w:rPr>
                <w:lang w:val="sq-AL"/>
              </w:rPr>
            </w:pPr>
          </w:p>
        </w:tc>
        <w:tc>
          <w:tcPr>
            <w:tcW w:w="720" w:type="dxa"/>
            <w:tcBorders>
              <w:top w:val="nil"/>
              <w:left w:val="nil"/>
              <w:bottom w:val="single" w:sz="4" w:space="0" w:color="auto"/>
              <w:right w:val="single" w:sz="4" w:space="0" w:color="auto"/>
            </w:tcBorders>
          </w:tcPr>
          <w:p w14:paraId="1FF36501" w14:textId="49B88BA5" w:rsidR="008C47A0" w:rsidRPr="00F97B4B" w:rsidRDefault="00117B59" w:rsidP="00341CE7">
            <w:pPr>
              <w:jc w:val="right"/>
              <w:rPr>
                <w:lang w:val="sq-AL"/>
              </w:rPr>
            </w:pPr>
            <w:r>
              <w:rPr>
                <w:lang w:val="sq-AL"/>
              </w:rPr>
              <w:t>1</w:t>
            </w:r>
          </w:p>
        </w:tc>
        <w:tc>
          <w:tcPr>
            <w:tcW w:w="823" w:type="dxa"/>
            <w:tcBorders>
              <w:top w:val="nil"/>
              <w:left w:val="single" w:sz="4" w:space="0" w:color="auto"/>
              <w:bottom w:val="single" w:sz="4" w:space="0" w:color="auto"/>
              <w:right w:val="single" w:sz="4" w:space="0" w:color="auto"/>
            </w:tcBorders>
          </w:tcPr>
          <w:p w14:paraId="577689A4" w14:textId="47D2104F" w:rsidR="008C47A0" w:rsidRPr="00F97B4B" w:rsidRDefault="00117B59" w:rsidP="00341CE7">
            <w:pPr>
              <w:jc w:val="right"/>
              <w:rPr>
                <w:lang w:val="sq-AL"/>
              </w:rPr>
            </w:pPr>
            <w:r>
              <w:rPr>
                <w:lang w:val="sq-AL"/>
              </w:rPr>
              <w:t>1</w:t>
            </w:r>
          </w:p>
        </w:tc>
        <w:tc>
          <w:tcPr>
            <w:tcW w:w="696" w:type="dxa"/>
            <w:tcBorders>
              <w:top w:val="nil"/>
              <w:left w:val="single" w:sz="4" w:space="0" w:color="auto"/>
              <w:bottom w:val="single" w:sz="4" w:space="0" w:color="auto"/>
              <w:right w:val="single" w:sz="4" w:space="0" w:color="auto"/>
            </w:tcBorders>
            <w:vAlign w:val="bottom"/>
          </w:tcPr>
          <w:p w14:paraId="798B2DD8" w14:textId="77777777" w:rsidR="008C47A0" w:rsidRPr="00F97B4B" w:rsidRDefault="008C47A0" w:rsidP="00341CE7">
            <w:pPr>
              <w:jc w:val="right"/>
              <w:rPr>
                <w:lang w:val="sq-AL"/>
              </w:rPr>
            </w:pPr>
            <w:r w:rsidRPr="00F97B4B">
              <w:rPr>
                <w:lang w:val="sq-AL"/>
              </w:rPr>
              <w:t>0</w:t>
            </w:r>
          </w:p>
        </w:tc>
        <w:tc>
          <w:tcPr>
            <w:tcW w:w="696" w:type="dxa"/>
            <w:tcBorders>
              <w:top w:val="nil"/>
              <w:left w:val="nil"/>
              <w:bottom w:val="single" w:sz="4" w:space="0" w:color="auto"/>
              <w:right w:val="single" w:sz="4" w:space="0" w:color="auto"/>
            </w:tcBorders>
            <w:vAlign w:val="bottom"/>
          </w:tcPr>
          <w:p w14:paraId="6B6AAC6E" w14:textId="77777777" w:rsidR="008C47A0" w:rsidRPr="00F97B4B" w:rsidRDefault="008C47A0" w:rsidP="00341CE7">
            <w:pPr>
              <w:jc w:val="right"/>
              <w:rPr>
                <w:lang w:val="sq-AL"/>
              </w:rPr>
            </w:pPr>
            <w:r w:rsidRPr="00F97B4B">
              <w:rPr>
                <w:lang w:val="sq-AL"/>
              </w:rPr>
              <w:t>0</w:t>
            </w:r>
          </w:p>
        </w:tc>
        <w:tc>
          <w:tcPr>
            <w:tcW w:w="696" w:type="dxa"/>
            <w:tcBorders>
              <w:top w:val="nil"/>
              <w:left w:val="nil"/>
              <w:bottom w:val="single" w:sz="4" w:space="0" w:color="auto"/>
              <w:right w:val="single" w:sz="4" w:space="0" w:color="auto"/>
            </w:tcBorders>
            <w:vAlign w:val="bottom"/>
          </w:tcPr>
          <w:p w14:paraId="7665E6A1" w14:textId="77777777" w:rsidR="008C47A0" w:rsidRPr="00F97B4B" w:rsidRDefault="008C47A0" w:rsidP="00341CE7">
            <w:pPr>
              <w:jc w:val="right"/>
              <w:rPr>
                <w:lang w:val="sq-AL"/>
              </w:rPr>
            </w:pPr>
            <w:r w:rsidRPr="00F97B4B">
              <w:rPr>
                <w:lang w:val="sq-AL"/>
              </w:rPr>
              <w:t>0</w:t>
            </w:r>
          </w:p>
        </w:tc>
        <w:tc>
          <w:tcPr>
            <w:tcW w:w="779" w:type="dxa"/>
            <w:tcBorders>
              <w:top w:val="single" w:sz="4" w:space="0" w:color="auto"/>
              <w:left w:val="nil"/>
              <w:bottom w:val="single" w:sz="4" w:space="0" w:color="auto"/>
              <w:right w:val="single" w:sz="4" w:space="0" w:color="auto"/>
            </w:tcBorders>
          </w:tcPr>
          <w:p w14:paraId="3E4D9344" w14:textId="05C74D84" w:rsidR="008C47A0" w:rsidRPr="00F97B4B" w:rsidRDefault="00117B59" w:rsidP="00341CE7">
            <w:pPr>
              <w:jc w:val="right"/>
              <w:rPr>
                <w:lang w:val="sq-AL"/>
              </w:rPr>
            </w:pPr>
            <w:r>
              <w:rPr>
                <w:lang w:val="sq-AL"/>
              </w:rPr>
              <w:t>1</w:t>
            </w:r>
          </w:p>
        </w:tc>
        <w:tc>
          <w:tcPr>
            <w:tcW w:w="720" w:type="dxa"/>
            <w:tcBorders>
              <w:top w:val="nil"/>
              <w:left w:val="single" w:sz="4" w:space="0" w:color="auto"/>
              <w:bottom w:val="single" w:sz="4" w:space="0" w:color="auto"/>
              <w:right w:val="single" w:sz="4" w:space="0" w:color="auto"/>
            </w:tcBorders>
          </w:tcPr>
          <w:p w14:paraId="41177D62" w14:textId="60C87898" w:rsidR="008C47A0" w:rsidRPr="00F97B4B" w:rsidRDefault="00117B59" w:rsidP="00341CE7">
            <w:pPr>
              <w:jc w:val="right"/>
              <w:rPr>
                <w:lang w:val="sq-AL"/>
              </w:rPr>
            </w:pPr>
            <w:r>
              <w:rPr>
                <w:lang w:val="sq-AL"/>
              </w:rPr>
              <w:t>1</w:t>
            </w:r>
          </w:p>
        </w:tc>
        <w:tc>
          <w:tcPr>
            <w:tcW w:w="900" w:type="dxa"/>
            <w:tcBorders>
              <w:top w:val="nil"/>
              <w:left w:val="single" w:sz="4" w:space="0" w:color="auto"/>
              <w:bottom w:val="single" w:sz="4" w:space="0" w:color="auto"/>
              <w:right w:val="single" w:sz="4" w:space="0" w:color="auto"/>
            </w:tcBorders>
          </w:tcPr>
          <w:p w14:paraId="3D31DEBC" w14:textId="77777777" w:rsidR="008C47A0" w:rsidRPr="00F97B4B" w:rsidRDefault="008C47A0" w:rsidP="00341CE7">
            <w:pPr>
              <w:jc w:val="right"/>
              <w:rPr>
                <w:lang w:val="sq-AL"/>
              </w:rPr>
            </w:pPr>
          </w:p>
        </w:tc>
      </w:tr>
      <w:tr w:rsidR="008C47A0" w:rsidRPr="00F97B4B" w14:paraId="18496283" w14:textId="77777777" w:rsidTr="00117B59">
        <w:trPr>
          <w:trHeight w:val="300"/>
        </w:trPr>
        <w:tc>
          <w:tcPr>
            <w:tcW w:w="1075" w:type="dxa"/>
            <w:tcBorders>
              <w:top w:val="nil"/>
              <w:left w:val="single" w:sz="4" w:space="0" w:color="auto"/>
              <w:bottom w:val="single" w:sz="4" w:space="0" w:color="auto"/>
              <w:right w:val="single" w:sz="4" w:space="0" w:color="auto"/>
            </w:tcBorders>
            <w:shd w:val="clear" w:color="000000" w:fill="F2F2F2"/>
            <w:noWrap/>
            <w:vAlign w:val="bottom"/>
            <w:hideMark/>
          </w:tcPr>
          <w:p w14:paraId="0F018B5B" w14:textId="77777777" w:rsidR="008C47A0" w:rsidRPr="00F97B4B" w:rsidRDefault="008C47A0" w:rsidP="00341CE7">
            <w:pPr>
              <w:rPr>
                <w:b/>
                <w:bCs/>
                <w:lang w:val="sq-AL"/>
              </w:rPr>
            </w:pPr>
            <w:r w:rsidRPr="00F97B4B">
              <w:rPr>
                <w:b/>
                <w:bCs/>
                <w:lang w:val="sq-AL"/>
              </w:rPr>
              <w:t>Total</w:t>
            </w:r>
          </w:p>
        </w:tc>
        <w:tc>
          <w:tcPr>
            <w:tcW w:w="720" w:type="dxa"/>
            <w:tcBorders>
              <w:top w:val="nil"/>
              <w:left w:val="nil"/>
              <w:bottom w:val="single" w:sz="4" w:space="0" w:color="auto"/>
              <w:right w:val="single" w:sz="4" w:space="0" w:color="auto"/>
            </w:tcBorders>
            <w:shd w:val="clear" w:color="000000" w:fill="F2F2F2"/>
            <w:noWrap/>
            <w:vAlign w:val="bottom"/>
            <w:hideMark/>
          </w:tcPr>
          <w:p w14:paraId="494BDA7B" w14:textId="43CBCC81" w:rsidR="008C47A0" w:rsidRPr="00F97B4B" w:rsidRDefault="00117B59" w:rsidP="00341CE7">
            <w:pPr>
              <w:jc w:val="right"/>
              <w:rPr>
                <w:b/>
                <w:bCs/>
                <w:lang w:val="sq-AL"/>
              </w:rPr>
            </w:pPr>
            <w:r>
              <w:rPr>
                <w:b/>
                <w:bCs/>
                <w:lang w:val="sq-AL"/>
              </w:rPr>
              <w:t>4</w:t>
            </w:r>
          </w:p>
        </w:tc>
        <w:tc>
          <w:tcPr>
            <w:tcW w:w="720" w:type="dxa"/>
            <w:tcBorders>
              <w:top w:val="nil"/>
              <w:left w:val="nil"/>
              <w:bottom w:val="single" w:sz="4" w:space="0" w:color="auto"/>
              <w:right w:val="single" w:sz="4" w:space="0" w:color="auto"/>
            </w:tcBorders>
            <w:shd w:val="clear" w:color="000000" w:fill="F2F2F2"/>
            <w:vAlign w:val="bottom"/>
            <w:hideMark/>
          </w:tcPr>
          <w:p w14:paraId="7E0971E7" w14:textId="231A783E" w:rsidR="008C47A0" w:rsidRPr="00F97B4B" w:rsidRDefault="00117B59" w:rsidP="00341CE7">
            <w:pPr>
              <w:jc w:val="right"/>
              <w:rPr>
                <w:b/>
                <w:bCs/>
                <w:lang w:val="sq-AL"/>
              </w:rPr>
            </w:pPr>
            <w:r>
              <w:rPr>
                <w:b/>
                <w:bCs/>
                <w:lang w:val="sq-AL"/>
              </w:rPr>
              <w:t>5</w:t>
            </w:r>
          </w:p>
        </w:tc>
        <w:tc>
          <w:tcPr>
            <w:tcW w:w="990" w:type="dxa"/>
            <w:tcBorders>
              <w:top w:val="nil"/>
              <w:left w:val="nil"/>
              <w:bottom w:val="single" w:sz="4" w:space="0" w:color="auto"/>
              <w:right w:val="single" w:sz="4" w:space="0" w:color="auto"/>
            </w:tcBorders>
            <w:shd w:val="clear" w:color="000000" w:fill="F2F2F2"/>
            <w:vAlign w:val="bottom"/>
            <w:hideMark/>
          </w:tcPr>
          <w:p w14:paraId="4B63A739" w14:textId="77777777" w:rsidR="008C47A0" w:rsidRPr="00F97B4B" w:rsidRDefault="008C47A0" w:rsidP="00341CE7">
            <w:pPr>
              <w:jc w:val="right"/>
              <w:rPr>
                <w:b/>
                <w:bCs/>
                <w:lang w:val="sq-AL"/>
              </w:rPr>
            </w:pPr>
            <w:r w:rsidRPr="00F97B4B">
              <w:rPr>
                <w:b/>
                <w:bCs/>
                <w:lang w:val="sq-AL"/>
              </w:rPr>
              <w:t>3</w:t>
            </w:r>
          </w:p>
        </w:tc>
        <w:tc>
          <w:tcPr>
            <w:tcW w:w="720" w:type="dxa"/>
            <w:tcBorders>
              <w:top w:val="nil"/>
              <w:left w:val="nil"/>
              <w:bottom w:val="single" w:sz="4" w:space="0" w:color="auto"/>
              <w:right w:val="single" w:sz="4" w:space="0" w:color="auto"/>
            </w:tcBorders>
            <w:shd w:val="clear" w:color="000000" w:fill="F2F2F2"/>
            <w:vAlign w:val="bottom"/>
            <w:hideMark/>
          </w:tcPr>
          <w:p w14:paraId="49131CBC" w14:textId="5C1DA1A1" w:rsidR="008C47A0" w:rsidRPr="00F97B4B" w:rsidRDefault="00117B59" w:rsidP="00341CE7">
            <w:pPr>
              <w:jc w:val="right"/>
              <w:rPr>
                <w:b/>
                <w:bCs/>
                <w:lang w:val="sq-AL"/>
              </w:rPr>
            </w:pPr>
            <w:r>
              <w:rPr>
                <w:b/>
                <w:bCs/>
                <w:lang w:val="sq-AL"/>
              </w:rPr>
              <w:t>3</w:t>
            </w:r>
          </w:p>
        </w:tc>
        <w:tc>
          <w:tcPr>
            <w:tcW w:w="720" w:type="dxa"/>
            <w:tcBorders>
              <w:top w:val="nil"/>
              <w:left w:val="nil"/>
              <w:bottom w:val="single" w:sz="4" w:space="0" w:color="auto"/>
              <w:right w:val="single" w:sz="4" w:space="0" w:color="auto"/>
            </w:tcBorders>
            <w:shd w:val="clear" w:color="000000" w:fill="F2F2F2"/>
          </w:tcPr>
          <w:p w14:paraId="7D4228C4" w14:textId="77777777" w:rsidR="008C47A0" w:rsidRPr="00F97B4B" w:rsidRDefault="008C47A0" w:rsidP="00341CE7">
            <w:pPr>
              <w:jc w:val="right"/>
              <w:rPr>
                <w:b/>
                <w:bCs/>
                <w:lang w:val="sq-AL"/>
              </w:rPr>
            </w:pPr>
            <w:r>
              <w:rPr>
                <w:b/>
                <w:bCs/>
                <w:lang w:val="sq-AL"/>
              </w:rPr>
              <w:t>6</w:t>
            </w:r>
          </w:p>
        </w:tc>
        <w:tc>
          <w:tcPr>
            <w:tcW w:w="823" w:type="dxa"/>
            <w:tcBorders>
              <w:top w:val="nil"/>
              <w:left w:val="single" w:sz="4" w:space="0" w:color="auto"/>
              <w:bottom w:val="single" w:sz="4" w:space="0" w:color="auto"/>
              <w:right w:val="single" w:sz="4" w:space="0" w:color="auto"/>
            </w:tcBorders>
            <w:shd w:val="clear" w:color="000000" w:fill="F2F2F2"/>
          </w:tcPr>
          <w:p w14:paraId="6E22EA8D" w14:textId="4B0EB1C9" w:rsidR="008C47A0" w:rsidRPr="00F97B4B" w:rsidRDefault="00117B59" w:rsidP="00341CE7">
            <w:pPr>
              <w:jc w:val="right"/>
              <w:rPr>
                <w:b/>
                <w:bCs/>
                <w:lang w:val="sq-AL"/>
              </w:rPr>
            </w:pPr>
            <w:r>
              <w:rPr>
                <w:b/>
                <w:bCs/>
                <w:lang w:val="sq-AL"/>
              </w:rPr>
              <w:t>8</w:t>
            </w:r>
          </w:p>
        </w:tc>
        <w:tc>
          <w:tcPr>
            <w:tcW w:w="696" w:type="dxa"/>
            <w:tcBorders>
              <w:top w:val="nil"/>
              <w:left w:val="single" w:sz="4" w:space="0" w:color="auto"/>
              <w:bottom w:val="single" w:sz="4" w:space="0" w:color="auto"/>
              <w:right w:val="single" w:sz="4" w:space="0" w:color="auto"/>
            </w:tcBorders>
            <w:shd w:val="clear" w:color="000000" w:fill="F2F2F2"/>
            <w:vAlign w:val="bottom"/>
          </w:tcPr>
          <w:p w14:paraId="4C8D0D19" w14:textId="308ADDB3" w:rsidR="008C47A0" w:rsidRPr="00F97B4B" w:rsidRDefault="00117B59" w:rsidP="00341CE7">
            <w:pPr>
              <w:jc w:val="right"/>
              <w:rPr>
                <w:b/>
                <w:bCs/>
                <w:lang w:val="sq-AL"/>
              </w:rPr>
            </w:pPr>
            <w:r>
              <w:rPr>
                <w:b/>
                <w:bCs/>
                <w:lang w:val="sq-AL"/>
              </w:rPr>
              <w:t>2</w:t>
            </w:r>
          </w:p>
        </w:tc>
        <w:tc>
          <w:tcPr>
            <w:tcW w:w="696" w:type="dxa"/>
            <w:tcBorders>
              <w:top w:val="nil"/>
              <w:left w:val="nil"/>
              <w:bottom w:val="single" w:sz="4" w:space="0" w:color="auto"/>
              <w:right w:val="single" w:sz="4" w:space="0" w:color="auto"/>
            </w:tcBorders>
            <w:shd w:val="clear" w:color="000000" w:fill="F2F2F2"/>
            <w:vAlign w:val="bottom"/>
          </w:tcPr>
          <w:p w14:paraId="5A3C44E2" w14:textId="5ED1F407" w:rsidR="008C47A0" w:rsidRPr="00F97B4B" w:rsidRDefault="00117B59" w:rsidP="00341CE7">
            <w:pPr>
              <w:jc w:val="right"/>
              <w:rPr>
                <w:b/>
                <w:bCs/>
                <w:lang w:val="sq-AL"/>
              </w:rPr>
            </w:pPr>
            <w:r>
              <w:rPr>
                <w:b/>
                <w:bCs/>
                <w:lang w:val="sq-AL"/>
              </w:rPr>
              <w:t>3</w:t>
            </w:r>
          </w:p>
        </w:tc>
        <w:tc>
          <w:tcPr>
            <w:tcW w:w="696" w:type="dxa"/>
            <w:tcBorders>
              <w:top w:val="nil"/>
              <w:left w:val="nil"/>
              <w:bottom w:val="single" w:sz="4" w:space="0" w:color="auto"/>
              <w:right w:val="single" w:sz="4" w:space="0" w:color="auto"/>
            </w:tcBorders>
            <w:shd w:val="clear" w:color="000000" w:fill="F2F2F2"/>
            <w:vAlign w:val="bottom"/>
          </w:tcPr>
          <w:p w14:paraId="552B72E8" w14:textId="0416EBED" w:rsidR="008C47A0" w:rsidRPr="00F97B4B" w:rsidRDefault="00117B59" w:rsidP="00341CE7">
            <w:pPr>
              <w:jc w:val="right"/>
              <w:rPr>
                <w:b/>
                <w:bCs/>
                <w:lang w:val="sq-AL"/>
              </w:rPr>
            </w:pPr>
            <w:r>
              <w:rPr>
                <w:b/>
                <w:bCs/>
                <w:lang w:val="sq-AL"/>
              </w:rPr>
              <w:t>1</w:t>
            </w:r>
          </w:p>
        </w:tc>
        <w:tc>
          <w:tcPr>
            <w:tcW w:w="779" w:type="dxa"/>
            <w:tcBorders>
              <w:top w:val="single" w:sz="4" w:space="0" w:color="auto"/>
              <w:left w:val="nil"/>
              <w:bottom w:val="single" w:sz="4" w:space="0" w:color="auto"/>
              <w:right w:val="single" w:sz="4" w:space="0" w:color="auto"/>
            </w:tcBorders>
            <w:shd w:val="clear" w:color="000000" w:fill="F2F2F2"/>
          </w:tcPr>
          <w:p w14:paraId="7EE42231" w14:textId="1A5F964D" w:rsidR="008C47A0" w:rsidRPr="00F97B4B" w:rsidRDefault="00117B59" w:rsidP="00341CE7">
            <w:pPr>
              <w:jc w:val="right"/>
              <w:rPr>
                <w:b/>
                <w:bCs/>
                <w:lang w:val="sq-AL"/>
              </w:rPr>
            </w:pPr>
            <w:r>
              <w:rPr>
                <w:b/>
                <w:bCs/>
                <w:lang w:val="sq-AL"/>
              </w:rPr>
              <w:t>3</w:t>
            </w:r>
          </w:p>
        </w:tc>
        <w:tc>
          <w:tcPr>
            <w:tcW w:w="720" w:type="dxa"/>
            <w:tcBorders>
              <w:top w:val="nil"/>
              <w:left w:val="single" w:sz="4" w:space="0" w:color="auto"/>
              <w:bottom w:val="single" w:sz="4" w:space="0" w:color="auto"/>
              <w:right w:val="single" w:sz="4" w:space="0" w:color="auto"/>
            </w:tcBorders>
            <w:shd w:val="clear" w:color="000000" w:fill="F2F2F2"/>
          </w:tcPr>
          <w:p w14:paraId="1100B1EE" w14:textId="77777777" w:rsidR="008C47A0" w:rsidRPr="00F97B4B" w:rsidRDefault="008C47A0" w:rsidP="00341CE7">
            <w:pPr>
              <w:jc w:val="right"/>
              <w:rPr>
                <w:b/>
                <w:bCs/>
                <w:lang w:val="sq-AL"/>
              </w:rPr>
            </w:pPr>
            <w:r>
              <w:t>6</w:t>
            </w:r>
          </w:p>
        </w:tc>
        <w:tc>
          <w:tcPr>
            <w:tcW w:w="900" w:type="dxa"/>
            <w:tcBorders>
              <w:top w:val="nil"/>
              <w:left w:val="single" w:sz="4" w:space="0" w:color="auto"/>
              <w:bottom w:val="single" w:sz="4" w:space="0" w:color="auto"/>
              <w:right w:val="single" w:sz="4" w:space="0" w:color="auto"/>
            </w:tcBorders>
            <w:shd w:val="clear" w:color="000000" w:fill="F2F2F2"/>
          </w:tcPr>
          <w:p w14:paraId="62B6C250" w14:textId="3EBEE5B0" w:rsidR="008C47A0" w:rsidRPr="00F97B4B" w:rsidRDefault="00117B59" w:rsidP="00341CE7">
            <w:pPr>
              <w:jc w:val="right"/>
              <w:rPr>
                <w:b/>
                <w:bCs/>
                <w:lang w:val="sq-AL"/>
              </w:rPr>
            </w:pPr>
            <w:r>
              <w:rPr>
                <w:b/>
                <w:bCs/>
                <w:lang w:val="sq-AL"/>
              </w:rPr>
              <w:t>5</w:t>
            </w:r>
          </w:p>
        </w:tc>
      </w:tr>
      <w:tr w:rsidR="008C47A0" w:rsidRPr="00F97B4B" w14:paraId="4A86E9E0" w14:textId="77777777" w:rsidTr="00117B59">
        <w:trPr>
          <w:trHeight w:val="300"/>
        </w:trPr>
        <w:tc>
          <w:tcPr>
            <w:tcW w:w="1075" w:type="dxa"/>
            <w:tcBorders>
              <w:top w:val="nil"/>
              <w:left w:val="single" w:sz="4" w:space="0" w:color="auto"/>
              <w:bottom w:val="single" w:sz="4" w:space="0" w:color="auto"/>
              <w:right w:val="single" w:sz="4" w:space="0" w:color="auto"/>
            </w:tcBorders>
            <w:shd w:val="clear" w:color="000000" w:fill="F2F2F2"/>
            <w:noWrap/>
            <w:vAlign w:val="bottom"/>
            <w:hideMark/>
          </w:tcPr>
          <w:p w14:paraId="52550133" w14:textId="77777777" w:rsidR="008C47A0" w:rsidRPr="00F97B4B" w:rsidRDefault="008C47A0" w:rsidP="00341CE7">
            <w:pPr>
              <w:rPr>
                <w:b/>
                <w:bCs/>
                <w:lang w:val="sq-AL"/>
              </w:rPr>
            </w:pPr>
          </w:p>
        </w:tc>
        <w:tc>
          <w:tcPr>
            <w:tcW w:w="4693" w:type="dxa"/>
            <w:gridSpan w:val="6"/>
            <w:tcBorders>
              <w:top w:val="nil"/>
              <w:left w:val="nil"/>
              <w:bottom w:val="single" w:sz="4" w:space="0" w:color="auto"/>
              <w:right w:val="single" w:sz="4" w:space="0" w:color="auto"/>
            </w:tcBorders>
            <w:shd w:val="clear" w:color="000000" w:fill="F2F2F2"/>
            <w:noWrap/>
            <w:vAlign w:val="bottom"/>
            <w:hideMark/>
          </w:tcPr>
          <w:p w14:paraId="221BD18E" w14:textId="594BE088" w:rsidR="008C47A0" w:rsidRPr="00F97B4B" w:rsidRDefault="008C47A0" w:rsidP="00341CE7">
            <w:pPr>
              <w:rPr>
                <w:b/>
                <w:bCs/>
                <w:lang w:val="sq-AL"/>
              </w:rPr>
            </w:pPr>
            <w:r>
              <w:rPr>
                <w:b/>
                <w:bCs/>
                <w:lang w:val="sq-AL"/>
              </w:rPr>
              <w:t>Total 2020-2025:                                         2</w:t>
            </w:r>
            <w:r w:rsidR="00117B59">
              <w:rPr>
                <w:b/>
                <w:bCs/>
                <w:lang w:val="sq-AL"/>
              </w:rPr>
              <w:t>9</w:t>
            </w:r>
          </w:p>
        </w:tc>
        <w:tc>
          <w:tcPr>
            <w:tcW w:w="4487" w:type="dxa"/>
            <w:gridSpan w:val="6"/>
            <w:tcBorders>
              <w:top w:val="nil"/>
              <w:left w:val="single" w:sz="4" w:space="0" w:color="auto"/>
              <w:bottom w:val="single" w:sz="4" w:space="0" w:color="auto"/>
            </w:tcBorders>
            <w:shd w:val="clear" w:color="000000" w:fill="F2F2F2"/>
            <w:vAlign w:val="bottom"/>
            <w:hideMark/>
          </w:tcPr>
          <w:p w14:paraId="2042E7C4" w14:textId="77777777" w:rsidR="008C47A0" w:rsidRPr="00F97B4B" w:rsidRDefault="008C47A0" w:rsidP="00341CE7">
            <w:pPr>
              <w:rPr>
                <w:b/>
                <w:bCs/>
                <w:lang w:val="sq-AL"/>
              </w:rPr>
            </w:pPr>
            <w:r w:rsidRPr="00F97B4B">
              <w:rPr>
                <w:b/>
                <w:bCs/>
                <w:lang w:val="sq-AL"/>
              </w:rPr>
              <w:t> </w:t>
            </w:r>
          </w:p>
          <w:p w14:paraId="41C20000" w14:textId="2FD7ED4F" w:rsidR="008C47A0" w:rsidRPr="00F97B4B" w:rsidRDefault="008C47A0" w:rsidP="00341CE7">
            <w:pPr>
              <w:rPr>
                <w:b/>
                <w:bCs/>
                <w:lang w:val="sq-AL"/>
              </w:rPr>
            </w:pPr>
            <w:r w:rsidRPr="00F97B4B">
              <w:rPr>
                <w:b/>
                <w:bCs/>
                <w:lang w:val="sq-AL"/>
              </w:rPr>
              <w:t> </w:t>
            </w:r>
            <w:r>
              <w:rPr>
                <w:b/>
                <w:bCs/>
                <w:lang w:val="sq-AL"/>
              </w:rPr>
              <w:t xml:space="preserve">Total 2020-2025 :                                  </w:t>
            </w:r>
            <w:r w:rsidR="00117B59">
              <w:rPr>
                <w:b/>
                <w:bCs/>
                <w:lang w:val="sq-AL"/>
              </w:rPr>
              <w:t>20</w:t>
            </w:r>
          </w:p>
        </w:tc>
      </w:tr>
    </w:tbl>
    <w:p w14:paraId="34C7031A" w14:textId="77777777" w:rsidR="00527317" w:rsidRPr="00F97B4B" w:rsidRDefault="00527317" w:rsidP="00527317">
      <w:pPr>
        <w:jc w:val="both"/>
        <w:rPr>
          <w:rFonts w:eastAsia="Calibri"/>
          <w:bCs/>
          <w:lang w:val="sq-AL"/>
        </w:rPr>
      </w:pPr>
    </w:p>
    <w:p w14:paraId="51CED649" w14:textId="7DB86E6F" w:rsidR="00527317" w:rsidRPr="00F97B4B" w:rsidRDefault="00527317" w:rsidP="00527317">
      <w:pPr>
        <w:jc w:val="both"/>
        <w:rPr>
          <w:rFonts w:eastAsia="Calibri"/>
          <w:bCs/>
          <w:lang w:val="sq-AL"/>
        </w:rPr>
      </w:pPr>
      <w:r w:rsidRPr="00F97B4B">
        <w:rPr>
          <w:rFonts w:eastAsia="Calibri"/>
          <w:bCs/>
          <w:lang w:val="sq-AL"/>
        </w:rPr>
        <w:t>Për vitin 202</w:t>
      </w:r>
      <w:r w:rsidR="008C47A0">
        <w:rPr>
          <w:rFonts w:eastAsia="Calibri"/>
          <w:bCs/>
          <w:lang w:val="sq-AL"/>
        </w:rPr>
        <w:t>5 ( deri n</w:t>
      </w:r>
      <w:r w:rsidR="008D30DB">
        <w:rPr>
          <w:rFonts w:eastAsia="Calibri"/>
          <w:bCs/>
          <w:lang w:val="sq-AL"/>
        </w:rPr>
        <w:t>ë</w:t>
      </w:r>
      <w:r w:rsidR="008C47A0">
        <w:rPr>
          <w:rFonts w:eastAsia="Calibri"/>
          <w:bCs/>
          <w:lang w:val="sq-AL"/>
        </w:rPr>
        <w:t xml:space="preserve"> Korrik )</w:t>
      </w:r>
      <w:r w:rsidRPr="00F97B4B">
        <w:rPr>
          <w:rFonts w:eastAsia="Calibri"/>
          <w:bCs/>
          <w:lang w:val="sq-AL"/>
        </w:rPr>
        <w:t xml:space="preserve">, evidentohen </w:t>
      </w:r>
      <w:r w:rsidR="00117B59">
        <w:rPr>
          <w:rFonts w:eastAsia="Calibri"/>
          <w:bCs/>
          <w:lang w:val="sq-AL"/>
        </w:rPr>
        <w:t>5</w:t>
      </w:r>
      <w:r w:rsidRPr="00F97B4B">
        <w:rPr>
          <w:rFonts w:eastAsia="Calibri"/>
          <w:bCs/>
          <w:lang w:val="sq-AL"/>
        </w:rPr>
        <w:t xml:space="preserve"> raste te dhunës në familje</w:t>
      </w:r>
      <w:r w:rsidR="008C47A0">
        <w:rPr>
          <w:rFonts w:eastAsia="Calibri"/>
          <w:bCs/>
          <w:lang w:val="sq-AL"/>
        </w:rPr>
        <w:t>, sipas t</w:t>
      </w:r>
      <w:r w:rsidR="008D30DB">
        <w:rPr>
          <w:rFonts w:eastAsia="Calibri"/>
          <w:bCs/>
          <w:lang w:val="sq-AL"/>
        </w:rPr>
        <w:t>ë</w:t>
      </w:r>
      <w:r w:rsidR="008C47A0">
        <w:rPr>
          <w:rFonts w:eastAsia="Calibri"/>
          <w:bCs/>
          <w:lang w:val="sq-AL"/>
        </w:rPr>
        <w:t xml:space="preserve"> dh</w:t>
      </w:r>
      <w:r w:rsidR="008D30DB">
        <w:rPr>
          <w:rFonts w:eastAsia="Calibri"/>
          <w:bCs/>
          <w:lang w:val="sq-AL"/>
        </w:rPr>
        <w:t>ë</w:t>
      </w:r>
      <w:r w:rsidR="008C47A0">
        <w:rPr>
          <w:rFonts w:eastAsia="Calibri"/>
          <w:bCs/>
          <w:lang w:val="sq-AL"/>
        </w:rPr>
        <w:t>nave vet</w:t>
      </w:r>
      <w:r w:rsidR="008D30DB">
        <w:rPr>
          <w:rFonts w:eastAsia="Calibri"/>
          <w:bCs/>
          <w:lang w:val="sq-AL"/>
        </w:rPr>
        <w:t>ë</w:t>
      </w:r>
      <w:r w:rsidR="008C47A0">
        <w:rPr>
          <w:rFonts w:eastAsia="Calibri"/>
          <w:bCs/>
          <w:lang w:val="sq-AL"/>
        </w:rPr>
        <w:t xml:space="preserve">m pas viti 2023 </w:t>
      </w:r>
      <w:r w:rsidR="008D30DB">
        <w:rPr>
          <w:rFonts w:eastAsia="Calibri"/>
          <w:bCs/>
          <w:lang w:val="sq-AL"/>
        </w:rPr>
        <w:t>ë</w:t>
      </w:r>
      <w:r w:rsidR="008C47A0">
        <w:rPr>
          <w:rFonts w:eastAsia="Calibri"/>
          <w:bCs/>
          <w:lang w:val="sq-AL"/>
        </w:rPr>
        <w:t>sht</w:t>
      </w:r>
      <w:r w:rsidR="008D30DB">
        <w:rPr>
          <w:rFonts w:eastAsia="Calibri"/>
          <w:bCs/>
          <w:lang w:val="sq-AL"/>
        </w:rPr>
        <w:t>ë</w:t>
      </w:r>
      <w:r w:rsidR="008C47A0">
        <w:rPr>
          <w:rFonts w:eastAsia="Calibri"/>
          <w:bCs/>
          <w:lang w:val="sq-AL"/>
        </w:rPr>
        <w:t xml:space="preserve"> b</w:t>
      </w:r>
      <w:r w:rsidR="008D30DB">
        <w:rPr>
          <w:rFonts w:eastAsia="Calibri"/>
          <w:bCs/>
          <w:lang w:val="sq-AL"/>
        </w:rPr>
        <w:t>ë</w:t>
      </w:r>
      <w:r w:rsidR="008C47A0">
        <w:rPr>
          <w:rFonts w:eastAsia="Calibri"/>
          <w:bCs/>
          <w:lang w:val="sq-AL"/>
        </w:rPr>
        <w:t>r</w:t>
      </w:r>
      <w:r w:rsidR="008D30DB">
        <w:rPr>
          <w:rFonts w:eastAsia="Calibri"/>
          <w:bCs/>
          <w:lang w:val="sq-AL"/>
        </w:rPr>
        <w:t>ë</w:t>
      </w:r>
      <w:r w:rsidR="008C47A0">
        <w:rPr>
          <w:rFonts w:eastAsia="Calibri"/>
          <w:bCs/>
          <w:lang w:val="sq-AL"/>
        </w:rPr>
        <w:t xml:space="preserve"> e mundur q</w:t>
      </w:r>
      <w:r w:rsidR="008D30DB">
        <w:rPr>
          <w:rFonts w:eastAsia="Calibri"/>
          <w:bCs/>
          <w:lang w:val="sq-AL"/>
        </w:rPr>
        <w:t>ë</w:t>
      </w:r>
      <w:r w:rsidR="008C47A0">
        <w:rPr>
          <w:rFonts w:eastAsia="Calibri"/>
          <w:bCs/>
          <w:lang w:val="sq-AL"/>
        </w:rPr>
        <w:t xml:space="preserve"> rastet e dhun</w:t>
      </w:r>
      <w:r w:rsidR="008D30DB">
        <w:rPr>
          <w:rFonts w:eastAsia="Calibri"/>
          <w:bCs/>
          <w:lang w:val="sq-AL"/>
        </w:rPr>
        <w:t>ë</w:t>
      </w:r>
      <w:r w:rsidR="008C47A0">
        <w:rPr>
          <w:rFonts w:eastAsia="Calibri"/>
          <w:bCs/>
          <w:lang w:val="sq-AL"/>
        </w:rPr>
        <w:t>s me UM t</w:t>
      </w:r>
      <w:r w:rsidR="008D30DB">
        <w:rPr>
          <w:rFonts w:eastAsia="Calibri"/>
          <w:bCs/>
          <w:lang w:val="sq-AL"/>
        </w:rPr>
        <w:t>ë</w:t>
      </w:r>
      <w:r w:rsidR="008C47A0">
        <w:rPr>
          <w:rFonts w:eastAsia="Calibri"/>
          <w:bCs/>
          <w:lang w:val="sq-AL"/>
        </w:rPr>
        <w:t xml:space="preserve"> p</w:t>
      </w:r>
      <w:r w:rsidR="008D30DB">
        <w:rPr>
          <w:rFonts w:eastAsia="Calibri"/>
          <w:bCs/>
          <w:lang w:val="sq-AL"/>
        </w:rPr>
        <w:t>ë</w:t>
      </w:r>
      <w:r w:rsidR="008C47A0">
        <w:rPr>
          <w:rFonts w:eastAsia="Calibri"/>
          <w:bCs/>
          <w:lang w:val="sq-AL"/>
        </w:rPr>
        <w:t>rfitojn</w:t>
      </w:r>
      <w:r w:rsidR="008D30DB">
        <w:rPr>
          <w:rFonts w:eastAsia="Calibri"/>
          <w:bCs/>
          <w:lang w:val="sq-AL"/>
        </w:rPr>
        <w:t>ë</w:t>
      </w:r>
      <w:r w:rsidR="008C47A0">
        <w:rPr>
          <w:rFonts w:eastAsia="Calibri"/>
          <w:bCs/>
          <w:lang w:val="sq-AL"/>
        </w:rPr>
        <w:t xml:space="preserve"> pages</w:t>
      </w:r>
      <w:r w:rsidR="008D30DB">
        <w:rPr>
          <w:rFonts w:eastAsia="Calibri"/>
          <w:bCs/>
          <w:lang w:val="sq-AL"/>
        </w:rPr>
        <w:t>ë</w:t>
      </w:r>
      <w:r w:rsidR="008C47A0">
        <w:rPr>
          <w:rFonts w:eastAsia="Calibri"/>
          <w:bCs/>
          <w:lang w:val="sq-AL"/>
        </w:rPr>
        <w:t>n sipas ligjit.</w:t>
      </w:r>
    </w:p>
    <w:p w14:paraId="06FF8032" w14:textId="77777777" w:rsidR="00527317" w:rsidRPr="00F97B4B" w:rsidRDefault="00527317" w:rsidP="00527317">
      <w:pPr>
        <w:jc w:val="both"/>
        <w:rPr>
          <w:rFonts w:eastAsia="Calibri"/>
          <w:bCs/>
          <w:lang w:val="sq-AL"/>
        </w:rPr>
      </w:pPr>
    </w:p>
    <w:p w14:paraId="12E5B131" w14:textId="22CA773C" w:rsidR="00527317" w:rsidRPr="00F97B4B" w:rsidRDefault="00527317" w:rsidP="00527317">
      <w:pPr>
        <w:contextualSpacing/>
        <w:jc w:val="both"/>
        <w:rPr>
          <w:rFonts w:eastAsia="Calibri"/>
          <w:lang w:val="sq-AL"/>
        </w:rPr>
      </w:pPr>
      <w:r w:rsidRPr="00F97B4B">
        <w:rPr>
          <w:rFonts w:eastAsia="Calibri"/>
          <w:lang w:val="sq-AL"/>
        </w:rPr>
        <w:t xml:space="preserve">Në Bashkinë </w:t>
      </w:r>
      <w:r w:rsidR="008E6A41">
        <w:rPr>
          <w:rFonts w:eastAsia="Calibri"/>
          <w:lang w:val="sq-AL"/>
        </w:rPr>
        <w:t>Puke</w:t>
      </w:r>
      <w:r w:rsidRPr="00F97B4B">
        <w:rPr>
          <w:rFonts w:eastAsia="Calibri"/>
          <w:lang w:val="sq-AL"/>
        </w:rPr>
        <w:t xml:space="preserve"> mungojnë shërbime shoqërore në mbështetje të viktimave të dhunës. Mungesa e shërbimeve shoqërore për viktimat e dhunës dhe mungesa e burimeve financiare të Bashkisë për ngritjen e qendrës për menaxhimin e rasteve të dhunës, mungesa e organizatave të shoqërisë civile që ofrojnë shërbime të specializuara në territor për rasteve e dhunës ka bërë që deri në </w:t>
      </w:r>
      <w:r w:rsidR="008E6A41">
        <w:rPr>
          <w:rFonts w:eastAsia="Calibri"/>
          <w:lang w:val="sq-AL"/>
        </w:rPr>
        <w:t>Dhjetor</w:t>
      </w:r>
      <w:r w:rsidR="008C47A0">
        <w:rPr>
          <w:rFonts w:eastAsia="Calibri"/>
          <w:lang w:val="sq-AL"/>
        </w:rPr>
        <w:t xml:space="preserve"> 2025</w:t>
      </w:r>
      <w:r w:rsidRPr="00F97B4B">
        <w:rPr>
          <w:rFonts w:eastAsia="Calibri"/>
          <w:lang w:val="sq-AL"/>
        </w:rPr>
        <w:t xml:space="preserve"> rastet e dhunës në bashki të menaxhohen nga stafi i Bashkisë të ndihmuar me familjarë të viktimave të dhunës. Në disa raste bashkia është mbështetur nga OJF që operojnë në</w:t>
      </w:r>
      <w:r>
        <w:rPr>
          <w:rFonts w:eastAsia="Calibri"/>
          <w:lang w:val="sq-AL"/>
        </w:rPr>
        <w:t xml:space="preserve"> </w:t>
      </w:r>
      <w:r w:rsidR="008E6A41">
        <w:rPr>
          <w:rFonts w:eastAsia="Calibri"/>
          <w:lang w:val="sq-AL"/>
        </w:rPr>
        <w:t>Shkoder</w:t>
      </w:r>
      <w:r w:rsidRPr="00F97B4B">
        <w:rPr>
          <w:rFonts w:eastAsia="Calibri"/>
          <w:lang w:val="sq-AL"/>
        </w:rPr>
        <w:t>. Ajo që vlen të përmendet është fakti se numri i rasteve të dhunës që trajtohen nga organizatat ka qenë relativisht shumë i ulët, kryesisht vetëm për rastet e rënda.</w:t>
      </w:r>
    </w:p>
    <w:p w14:paraId="10CB7307" w14:textId="77777777" w:rsidR="00527317" w:rsidRPr="00F97B4B" w:rsidRDefault="00527317" w:rsidP="00527317">
      <w:pPr>
        <w:jc w:val="both"/>
        <w:textAlignment w:val="baseline"/>
        <w:rPr>
          <w:rFonts w:eastAsia="Calibri"/>
          <w:lang w:val="sq-AL"/>
        </w:rPr>
      </w:pPr>
    </w:p>
    <w:p w14:paraId="68089F4B" w14:textId="020B3C93" w:rsidR="00527317" w:rsidRPr="00F97B4B" w:rsidRDefault="00527317" w:rsidP="00527317">
      <w:pPr>
        <w:spacing w:before="120" w:after="120"/>
        <w:jc w:val="both"/>
        <w:rPr>
          <w:lang w:val="sq-AL"/>
        </w:rPr>
      </w:pPr>
      <w:r w:rsidRPr="00F97B4B">
        <w:rPr>
          <w:lang w:val="sq-AL"/>
        </w:rPr>
        <w:t>Megjithëse zhvillimet e mësipërme dhe angazhimet e pushtetit lokal në mbrojtje të viktimave të dhunës, megjithëse janë organizuar fushata të ndryshme informimi dhe ndërgjegjësimi për dhunën në familje, denoncimin e saj, dhe përfitimet e NE, sfidat për Bashkinë</w:t>
      </w:r>
      <w:r>
        <w:rPr>
          <w:lang w:val="sq-AL"/>
        </w:rPr>
        <w:t xml:space="preserve"> </w:t>
      </w:r>
      <w:r w:rsidR="008E6A41">
        <w:rPr>
          <w:lang w:val="sq-AL"/>
        </w:rPr>
        <w:t>Puke</w:t>
      </w:r>
      <w:r w:rsidRPr="00F97B4B">
        <w:rPr>
          <w:lang w:val="sq-AL"/>
        </w:rPr>
        <w:t xml:space="preserve"> për mbështetjen e viktimave të dhunës janë:</w:t>
      </w:r>
    </w:p>
    <w:p w14:paraId="2DD3F297" w14:textId="77777777" w:rsidR="00527317" w:rsidRPr="00F97B4B" w:rsidRDefault="00527317" w:rsidP="00527317">
      <w:pPr>
        <w:pStyle w:val="ListParagraph"/>
        <w:numPr>
          <w:ilvl w:val="0"/>
          <w:numId w:val="7"/>
        </w:numPr>
        <w:spacing w:before="120" w:after="120"/>
        <w:jc w:val="both"/>
        <w:rPr>
          <w:lang w:val="sq-AL"/>
        </w:rPr>
      </w:pPr>
      <w:r w:rsidRPr="00F97B4B">
        <w:rPr>
          <w:lang w:val="sq-AL"/>
        </w:rPr>
        <w:t>Planifikimi i fondeve lokale për plotësimin e nevojave për menaxhimin e rasteve të dhunës;</w:t>
      </w:r>
    </w:p>
    <w:p w14:paraId="370E4560" w14:textId="77777777" w:rsidR="00527317" w:rsidRPr="00F97B4B" w:rsidRDefault="00527317" w:rsidP="00527317">
      <w:pPr>
        <w:pStyle w:val="ListParagraph"/>
        <w:numPr>
          <w:ilvl w:val="0"/>
          <w:numId w:val="7"/>
        </w:numPr>
        <w:spacing w:before="120" w:after="120"/>
        <w:jc w:val="both"/>
        <w:rPr>
          <w:lang w:val="sq-AL"/>
        </w:rPr>
      </w:pPr>
      <w:r w:rsidRPr="00F97B4B">
        <w:rPr>
          <w:lang w:val="sq-AL"/>
        </w:rPr>
        <w:t>Rritja e kapaciteteve të stafit të Bashkisë për evidentimin dhe trajtimin e rasteve të dhunës;</w:t>
      </w:r>
    </w:p>
    <w:p w14:paraId="39884865" w14:textId="77777777" w:rsidR="00527317" w:rsidRPr="00F97B4B" w:rsidRDefault="00527317" w:rsidP="00527317">
      <w:pPr>
        <w:pStyle w:val="ListParagraph"/>
        <w:numPr>
          <w:ilvl w:val="0"/>
          <w:numId w:val="7"/>
        </w:numPr>
        <w:spacing w:before="120" w:after="120"/>
        <w:jc w:val="both"/>
        <w:rPr>
          <w:lang w:val="sq-AL"/>
        </w:rPr>
      </w:pPr>
      <w:r w:rsidRPr="00F97B4B">
        <w:rPr>
          <w:lang w:val="sq-AL"/>
        </w:rPr>
        <w:t>Zgjerimi i MKR me  kryepleqtë e fshatrave;</w:t>
      </w:r>
    </w:p>
    <w:p w14:paraId="3C4E2056" w14:textId="77777777" w:rsidR="00527317" w:rsidRPr="00F97B4B" w:rsidRDefault="00527317" w:rsidP="00527317">
      <w:pPr>
        <w:pStyle w:val="ListParagraph"/>
        <w:numPr>
          <w:ilvl w:val="0"/>
          <w:numId w:val="7"/>
        </w:numPr>
        <w:spacing w:before="120" w:after="120"/>
        <w:jc w:val="both"/>
        <w:rPr>
          <w:lang w:val="sq-AL"/>
        </w:rPr>
      </w:pPr>
      <w:r w:rsidRPr="00F97B4B">
        <w:rPr>
          <w:lang w:val="sq-AL"/>
        </w:rPr>
        <w:t>Vijimi i fushatave ndërgjegjësuese për komunitetin, kryesisht në zonat rurale.</w:t>
      </w:r>
    </w:p>
    <w:p w14:paraId="1C3B4E53" w14:textId="77777777" w:rsidR="00527317" w:rsidRDefault="00527317" w:rsidP="00842DB6">
      <w:pPr>
        <w:jc w:val="both"/>
      </w:pPr>
    </w:p>
    <w:p w14:paraId="2A3879C8" w14:textId="77777777" w:rsidR="00527317" w:rsidRDefault="00527317" w:rsidP="00842DB6">
      <w:pPr>
        <w:jc w:val="both"/>
      </w:pPr>
    </w:p>
    <w:p w14:paraId="53A4A6E7" w14:textId="15FDB1A2" w:rsidR="00527317" w:rsidRDefault="00527317" w:rsidP="00527317">
      <w:pPr>
        <w:jc w:val="both"/>
      </w:pPr>
      <w:r>
        <w:t>Shërbimet shoqërore të ofruara në vite në Bashkinë</w:t>
      </w:r>
      <w:r w:rsidR="008C490A">
        <w:t xml:space="preserve"> Puke</w:t>
      </w:r>
      <w:r>
        <w:t xml:space="preserve"> kanë qenë sporadike, jo të konsoliduara dhe me kapacitete të limituara.Në përfundim të projekteve, për shkak të mungesës së financimit, shërbimet janë mbyllur.</w:t>
      </w:r>
    </w:p>
    <w:p w14:paraId="4FD3A4E8" w14:textId="77777777" w:rsidR="004D5F8E" w:rsidRDefault="00527317" w:rsidP="004D5F8E">
      <w:pPr>
        <w:jc w:val="both"/>
      </w:pPr>
      <w:r>
        <w:t xml:space="preserve">Në bashkinë </w:t>
      </w:r>
      <w:r w:rsidR="008C490A">
        <w:t>Puke</w:t>
      </w:r>
      <w:r>
        <w:t xml:space="preserve"> gjatë vitit 202</w:t>
      </w:r>
      <w:r w:rsidR="00117B59">
        <w:t>3-2026</w:t>
      </w:r>
      <w:r>
        <w:t xml:space="preserve"> në bashkëpunim me Ministrinë e Shëndetësisë dhe Mbrojtjes Sociale është arritur që të krijohet </w:t>
      </w:r>
      <w:r w:rsidR="00117B59">
        <w:t>qendra ditore per te moshuarit ku pjesmarrja eshte 16 femra dhe 14 meshkuj,sherbehet per 30 te moshuar te moshuar te vetmuar.Me marreveshje e projektit e UNDP per ‘</w:t>
      </w:r>
      <w:r w:rsidR="004D5F8E">
        <w:t>Femijet me aftesi te kufizuar ne zonat rurale”jane kryer disa lloje sherbimesh per moshat 0-18 vjeç ,39 femije me aftesi te kufizuar 65 % femra dhe 45% meshkuj.</w:t>
      </w:r>
      <w:bookmarkStart w:id="8" w:name="_Toc151145096"/>
      <w:bookmarkStart w:id="9" w:name="_Toc204608635"/>
    </w:p>
    <w:p w14:paraId="5479734C" w14:textId="77777777" w:rsidR="004D5F8E" w:rsidRDefault="004D5F8E" w:rsidP="004D5F8E">
      <w:pPr>
        <w:jc w:val="both"/>
      </w:pPr>
    </w:p>
    <w:p w14:paraId="1A990427" w14:textId="056A277C" w:rsidR="00D8623A" w:rsidRPr="00D8623A" w:rsidRDefault="008D30DB" w:rsidP="004D5F8E">
      <w:pPr>
        <w:jc w:val="both"/>
        <w:rPr>
          <w:lang w:val="sq-AL"/>
        </w:rPr>
      </w:pPr>
      <w:r w:rsidRPr="008D30DB">
        <w:rPr>
          <w:lang w:val="sq-AL"/>
        </w:rPr>
        <w:t>IV</w:t>
      </w:r>
      <w:r w:rsidR="00D8623A">
        <w:rPr>
          <w:lang w:val="sq-AL"/>
        </w:rPr>
        <w:t xml:space="preserve"> </w:t>
      </w:r>
      <w:bookmarkEnd w:id="8"/>
      <w:r w:rsidR="00D8623A" w:rsidRPr="00D8623A">
        <w:t>ANALIZA E MJEDISIT TË JASHTËM DHE PIKAT E FORTA DHE DOBËTA BRENDA ORGANIZATËS</w:t>
      </w:r>
      <w:bookmarkEnd w:id="9"/>
    </w:p>
    <w:p w14:paraId="7B411106" w14:textId="77777777" w:rsidR="005039BB" w:rsidRPr="005039BB" w:rsidRDefault="005039BB" w:rsidP="005039BB">
      <w:pPr>
        <w:rPr>
          <w:highlight w:val="yellow"/>
          <w:lang w:val="sq-AL"/>
        </w:rPr>
      </w:pPr>
    </w:p>
    <w:p w14:paraId="0A37109D" w14:textId="77777777" w:rsidR="005039BB" w:rsidRPr="008D30DB" w:rsidRDefault="008D30DB" w:rsidP="005039BB">
      <w:pPr>
        <w:pStyle w:val="Heading2"/>
        <w:rPr>
          <w:rFonts w:ascii="Times New Roman" w:hAnsi="Times New Roman" w:cs="Times New Roman"/>
          <w:sz w:val="24"/>
          <w:szCs w:val="24"/>
          <w:lang w:val="sq-AL"/>
        </w:rPr>
      </w:pPr>
      <w:bookmarkStart w:id="10" w:name="_Toc151145097"/>
      <w:bookmarkStart w:id="11" w:name="_Toc204608636"/>
      <w:r w:rsidRPr="008D30DB">
        <w:rPr>
          <w:rFonts w:ascii="Times New Roman" w:hAnsi="Times New Roman" w:cs="Times New Roman"/>
          <w:sz w:val="24"/>
          <w:szCs w:val="24"/>
          <w:lang w:val="sq-AL"/>
        </w:rPr>
        <w:t xml:space="preserve">4.1 </w:t>
      </w:r>
      <w:r w:rsidR="005039BB" w:rsidRPr="008D30DB">
        <w:rPr>
          <w:rFonts w:ascii="Times New Roman" w:hAnsi="Times New Roman" w:cs="Times New Roman"/>
          <w:sz w:val="24"/>
          <w:szCs w:val="24"/>
          <w:lang w:val="sq-AL"/>
        </w:rPr>
        <w:t>Analiza e burimeve njerëzore</w:t>
      </w:r>
      <w:bookmarkEnd w:id="10"/>
      <w:bookmarkEnd w:id="11"/>
    </w:p>
    <w:p w14:paraId="7D850D34" w14:textId="672C621E" w:rsidR="008D30DB" w:rsidRDefault="002F6C06" w:rsidP="008D30DB">
      <w:pPr>
        <w:pStyle w:val="NormalWeb"/>
        <w:jc w:val="both"/>
      </w:pPr>
      <w:bookmarkStart w:id="12" w:name="_Toc151145098"/>
      <w:r>
        <w:t xml:space="preserve">Struktura organizative e Bashkisë </w:t>
      </w:r>
      <w:r w:rsidR="0058452F">
        <w:t>Puke</w:t>
      </w:r>
      <w:r>
        <w:t xml:space="preserve"> përfshin Sektorin e Ndihmës Ekonomike dhe Përkujdesjes Shoqërore si një ndër sektorët kyç për ofrimin e shërbimeve sociale dhe zbatimin </w:t>
      </w:r>
      <w:r>
        <w:lastRenderedPageBreak/>
        <w:t xml:space="preserve">e politikave sociale me ndikim në barazinë gjinore. Ky sektor funksionon në varësi të një përgjegjësi sektori dhe përbëhet nga </w:t>
      </w:r>
      <w:r w:rsidR="0058452F">
        <w:t>6</w:t>
      </w:r>
      <w:r>
        <w:t xml:space="preserve"> specialistë që mbulojnë programe si ndihma ekonomike, pagesat për personat me aftësi të kufizuara dhe mbështetja për kategori të tjera në nevojë</w:t>
      </w:r>
      <w:r w:rsidR="0058452F">
        <w:t>(Njmf,Kdhf)</w:t>
      </w:r>
      <w:r w:rsidR="0064057F">
        <w:t xml:space="preserve">, konkretisht </w:t>
      </w:r>
      <w:r w:rsidR="0058452F">
        <w:t>Njesia</w:t>
      </w:r>
      <w:r w:rsidR="0064057F">
        <w:t xml:space="preserve"> </w:t>
      </w:r>
      <w:r w:rsidR="0058452F">
        <w:t xml:space="preserve">Gjegjan,Luf-Qerret,Qelez,Rrape dhe Puka qender dhe </w:t>
      </w:r>
      <w:r w:rsidR="0064057F">
        <w:t>. Gjithashtu n</w:t>
      </w:r>
      <w:r w:rsidR="008D30DB">
        <w:t>ë</w:t>
      </w:r>
      <w:r w:rsidR="0064057F">
        <w:t xml:space="preserve"> strukture ka nj</w:t>
      </w:r>
      <w:r w:rsidR="008D30DB">
        <w:t>ë</w:t>
      </w:r>
      <w:r w:rsidR="0064057F">
        <w:t xml:space="preserve"> specialist p</w:t>
      </w:r>
      <w:r w:rsidR="008D30DB">
        <w:t>ë</w:t>
      </w:r>
      <w:r w:rsidR="0064057F">
        <w:t>r familje dhe f</w:t>
      </w:r>
      <w:r w:rsidR="008D30DB">
        <w:t>ë</w:t>
      </w:r>
      <w:r w:rsidR="0064057F">
        <w:t>mij</w:t>
      </w:r>
      <w:r w:rsidR="008D30DB">
        <w:t>ë</w:t>
      </w:r>
      <w:r w:rsidR="0064057F">
        <w:t xml:space="preserve"> dhe kordinat t</w:t>
      </w:r>
      <w:r w:rsidR="008D30DB">
        <w:t>ë</w:t>
      </w:r>
      <w:r w:rsidR="0064057F">
        <w:t xml:space="preserve"> identifikimit dhe r</w:t>
      </w:r>
      <w:r w:rsidR="008D30DB">
        <w:t>ë</w:t>
      </w:r>
      <w:r w:rsidR="0064057F">
        <w:t>ferimit t</w:t>
      </w:r>
      <w:r w:rsidR="008D30DB">
        <w:t>ë</w:t>
      </w:r>
      <w:r w:rsidR="0064057F">
        <w:t xml:space="preserve"> nevojave</w:t>
      </w:r>
      <w:r w:rsidR="0064057F" w:rsidRPr="0064057F">
        <w:t>Pavarësisht përpjekjeve institucionale, një nga mangësitë më të theksuara është mungesa e Njësisë së Vlerësimit dhe Referimit të Nevojave (NJVNR), e cila sipas legjislacionit duhet të funksionojë në nivel vendor si një mekanizëm ndërsektorial për identifikimin, vlerësimin dhe menaxhimin e rasteve në nevojë. Kjo njësi ende nuk është ngritur në mënyrë formale dhe funksionale, gjë që pengon krijimin e një sistemi të integruar dhe efektiv për adresimin e çështjeve të ndërlidhura me barazinë gjinore. Në të njëjtën kohë, mungesa e një databaze të mirëfilltë dhe të përditësuar mbi individët dhe familjet në vështirësi – përfshirë informacionin gjinor, statusin ekonomik dhe nevojat për shërbime – përbën një pengesë në mbledhjen, analizimin dhe përdorimin e të dhënave për planifikim strategjik dhe ndërhyrje të synuara.</w:t>
      </w:r>
    </w:p>
    <w:p w14:paraId="7458909A" w14:textId="7F69C73D" w:rsidR="0064057F" w:rsidRDefault="0064057F" w:rsidP="008D30DB">
      <w:pPr>
        <w:pStyle w:val="NormalWeb"/>
        <w:jc w:val="both"/>
      </w:pPr>
      <w:r w:rsidRPr="0064057F">
        <w:t xml:space="preserve">Këto boshllëqe në burimet njerëzore, mungesa e njësive të strukturuara për vlerësimin e rasteve, si dhe kapacitetet e kufizuara profesionale për trajtimin e problematikave me natyrë gjinore, kanë ndikuar drejtpërdrejt në procesin e hartimit të Planit Vendor të Veprimit për Barazinë Gjinore. Mungesa e sistemeve për menaxhimin e informacionit dhe pamundësia për të ndarë të dhëna të strukturuara midis njësive të ndryshme administrative ka vështirësuar hartimin e një analize të plotë të situatës gjinore në nivel lokal. Për të përmbushur në mënyrë të suksesshme objektivat e këtij plani, është e nevojshme që Bashkia </w:t>
      </w:r>
      <w:r w:rsidR="0058452F">
        <w:t>Puke</w:t>
      </w:r>
      <w:r w:rsidRPr="0064057F">
        <w:t xml:space="preserve"> të forcojë kapacitetet e saj njerëzore dhe institucionale përmes trajnimeve të specializuara, riorganizimit të strukturave ekzistuese dhe ngritjes së mekanizmave funksionalë të koordinimit dhe monitorimit të çështjeve gjinore.</w:t>
      </w:r>
    </w:p>
    <w:p w14:paraId="04B068F2" w14:textId="77777777" w:rsidR="008D30DB" w:rsidRDefault="008D30DB" w:rsidP="008D30DB">
      <w:pPr>
        <w:pStyle w:val="NormalWeb"/>
        <w:jc w:val="both"/>
      </w:pPr>
    </w:p>
    <w:p w14:paraId="3E93E8D4" w14:textId="3AE270C9" w:rsidR="00097E7D" w:rsidRDefault="008D30DB" w:rsidP="00097E7D">
      <w:pPr>
        <w:pStyle w:val="FootnoteText"/>
      </w:pPr>
      <w:bookmarkStart w:id="13" w:name="_Toc204608637"/>
      <w:r w:rsidRPr="008D30DB">
        <w:rPr>
          <w:rFonts w:ascii="Times New Roman" w:hAnsi="Times New Roman" w:cs="Times New Roman"/>
          <w:sz w:val="24"/>
          <w:szCs w:val="24"/>
          <w:lang w:val="sq-AL"/>
        </w:rPr>
        <w:t xml:space="preserve">4.2 </w:t>
      </w:r>
      <w:r w:rsidR="005039BB" w:rsidRPr="008D30DB">
        <w:rPr>
          <w:rFonts w:ascii="Times New Roman" w:hAnsi="Times New Roman" w:cs="Times New Roman"/>
          <w:sz w:val="24"/>
          <w:szCs w:val="24"/>
          <w:lang w:val="sq-AL"/>
        </w:rPr>
        <w:t xml:space="preserve">Analiza </w:t>
      </w:r>
      <w:r w:rsidR="00097E7D">
        <w:t xml:space="preserve"> për faktorët politikë, ekonomike, socialë, teknikë, ligjorë dhe mjedisorë që mund të ndikojnë në zhvillimin e ardhshëm të bashkisë.</w:t>
      </w:r>
    </w:p>
    <w:bookmarkEnd w:id="12"/>
    <w:bookmarkEnd w:id="13"/>
    <w:p w14:paraId="463A9595" w14:textId="77777777" w:rsidR="005039BB" w:rsidRPr="00F97B4B" w:rsidRDefault="005039BB" w:rsidP="005039BB">
      <w:pPr>
        <w:rPr>
          <w:lang w:val="sq-AL"/>
        </w:rPr>
      </w:pPr>
    </w:p>
    <w:p w14:paraId="5089575C" w14:textId="148D002C" w:rsidR="005039BB" w:rsidRPr="00F97B4B" w:rsidRDefault="005039BB" w:rsidP="005039BB">
      <w:pPr>
        <w:jc w:val="both"/>
        <w:rPr>
          <w:lang w:val="sq-AL"/>
        </w:rPr>
      </w:pPr>
      <w:r w:rsidRPr="00F97B4B">
        <w:rPr>
          <w:lang w:val="sq-AL"/>
        </w:rPr>
        <w:t xml:space="preserve">Faktorët politikë, ekonomikë, socialë, teknikë, ligjorë dhe mjedisorë që mund të ndikojnë në zhvillimin e ardhshëm të Bashkisë </w:t>
      </w:r>
      <w:r w:rsidR="00984443">
        <w:rPr>
          <w:lang w:val="sq-AL"/>
        </w:rPr>
        <w:t>Puke</w:t>
      </w:r>
      <w:r w:rsidRPr="00F97B4B">
        <w:rPr>
          <w:lang w:val="sq-AL"/>
        </w:rPr>
        <w:t xml:space="preserve"> janë si më poshtë:</w:t>
      </w:r>
    </w:p>
    <w:p w14:paraId="3FE94348" w14:textId="5416C8DC" w:rsidR="005039BB" w:rsidRPr="00F97B4B" w:rsidRDefault="005039BB" w:rsidP="005039BB">
      <w:pPr>
        <w:jc w:val="both"/>
        <w:rPr>
          <w:lang w:val="sq-AL"/>
        </w:rPr>
      </w:pPr>
      <w:r w:rsidRPr="00F97B4B">
        <w:rPr>
          <w:b/>
          <w:lang w:val="sq-AL"/>
        </w:rPr>
        <w:t>Faktori politik:</w:t>
      </w:r>
      <w:r w:rsidRPr="00F97B4B">
        <w:rPr>
          <w:lang w:val="sq-AL"/>
        </w:rPr>
        <w:t xml:space="preserve"> Bashkia </w:t>
      </w:r>
      <w:r w:rsidR="00984443">
        <w:rPr>
          <w:lang w:val="sq-AL"/>
        </w:rPr>
        <w:t>Puke</w:t>
      </w:r>
      <w:r w:rsidRPr="00F97B4B">
        <w:rPr>
          <w:lang w:val="sq-AL"/>
        </w:rPr>
        <w:t xml:space="preserve"> përdor legjislacionin vendas për të ndërtuar programe mbështetëse për grupet e vulnerable. Bashkëpunimi me organizatat jofitimprurëse, institucionet publike dhe sektorin privat lejon krijimin e partneriteteve të ndryshme, rritjen e efikasitetit dhe përmbushjen e nevojave të komunitetit.</w:t>
      </w:r>
    </w:p>
    <w:p w14:paraId="72C6F958" w14:textId="77777777" w:rsidR="005039BB" w:rsidRPr="00F97B4B" w:rsidRDefault="005039BB" w:rsidP="005039BB">
      <w:pPr>
        <w:jc w:val="both"/>
        <w:rPr>
          <w:lang w:val="sq-AL"/>
        </w:rPr>
      </w:pPr>
      <w:r w:rsidRPr="00F97B4B">
        <w:rPr>
          <w:b/>
          <w:lang w:val="sq-AL"/>
        </w:rPr>
        <w:t>Faktorët ekonomikë:</w:t>
      </w:r>
      <w:r w:rsidRPr="00F97B4B">
        <w:rPr>
          <w:lang w:val="sq-AL"/>
        </w:rPr>
        <w:t xml:space="preserve"> Bashkia punon në mënyrë të ngushtë me aktorët lokalë për menaxhimin efikas të burimeve financiare. Përkundër ngadalësimit të rritjes ekonomike dhe nivelit të lartë të papunësisë, bashkia po bën përpjeke për të siguruar shërbime sociale cilësore për të përmbushur nevojat e komunitetit.</w:t>
      </w:r>
    </w:p>
    <w:p w14:paraId="56589D27" w14:textId="73CDC4D8" w:rsidR="005039BB" w:rsidRPr="00F97B4B" w:rsidRDefault="005039BB" w:rsidP="005039BB">
      <w:pPr>
        <w:jc w:val="both"/>
        <w:rPr>
          <w:lang w:val="sq-AL"/>
        </w:rPr>
      </w:pPr>
      <w:r w:rsidRPr="00F97B4B">
        <w:rPr>
          <w:b/>
          <w:lang w:val="sq-AL"/>
        </w:rPr>
        <w:t>Faktorët socialë</w:t>
      </w:r>
      <w:r w:rsidRPr="00F97B4B">
        <w:rPr>
          <w:lang w:val="sq-AL"/>
        </w:rPr>
        <w:t xml:space="preserve">: Bashkia </w:t>
      </w:r>
      <w:r w:rsidR="00984443">
        <w:rPr>
          <w:lang w:val="sq-AL"/>
        </w:rPr>
        <w:t>Puke</w:t>
      </w:r>
      <w:r w:rsidRPr="00F97B4B">
        <w:rPr>
          <w:lang w:val="sq-AL"/>
        </w:rPr>
        <w:t xml:space="preserve"> reflekton një realitet me sfida sociale të rëndësishme, ku rritja e popullsisë mbi 65 vjeç dhe ulja e popullsisë 0-18 vjeç, së bashku me numrin e rritur të familjeve në nevojë dhe individëve me aftësi të kufizuara, paraqesin një kontekst me nevoja të thella. </w:t>
      </w:r>
      <w:r w:rsidRPr="005C3E9D">
        <w:rPr>
          <w:lang w:val="sq-AL"/>
        </w:rPr>
        <w:t>Së bashku me këtë, trendi i zvogëlimit të të rinjve që vazhdojnë arsimin e mesëm dhe oferta e kufizuar për punësim dhe formim profesional, reflektojnë nevojën për përmirësim në këto fusha.</w:t>
      </w:r>
      <w:r w:rsidRPr="00F97B4B">
        <w:rPr>
          <w:lang w:val="sq-AL"/>
        </w:rPr>
        <w:t xml:space="preserve"> Në anën tjetër, trashëgimia kulturore e pasur e Bashkisë </w:t>
      </w:r>
      <w:r w:rsidR="0058452F">
        <w:rPr>
          <w:lang w:val="sq-AL"/>
        </w:rPr>
        <w:t>Puke</w:t>
      </w:r>
      <w:r w:rsidRPr="00F97B4B">
        <w:rPr>
          <w:lang w:val="sq-AL"/>
        </w:rPr>
        <w:t xml:space="preserve"> ofron potencial për zhvillim kulturor dhe turistik, ndërsa shërbimet sociale po ideoen t’u përgjigjur drejtpërdrejt nevojave të komunitetit. Megjithatë, përdorimi i kufizuar i teknologjisë tek grupmoshat e reja </w:t>
      </w:r>
      <w:r w:rsidRPr="00F97B4B">
        <w:rPr>
          <w:lang w:val="sq-AL"/>
        </w:rPr>
        <w:lastRenderedPageBreak/>
        <w:t>shfaq nevojën për një përdorim më të gjerë dhe më efikas të teknologjisë për të përmbushur më mirë nevojat sociale.</w:t>
      </w:r>
    </w:p>
    <w:p w14:paraId="2091C87F" w14:textId="77777777" w:rsidR="005039BB" w:rsidRPr="00F97B4B" w:rsidRDefault="005039BB" w:rsidP="005039BB">
      <w:pPr>
        <w:jc w:val="both"/>
        <w:rPr>
          <w:lang w:val="sq-AL"/>
        </w:rPr>
      </w:pPr>
      <w:r w:rsidRPr="00F97B4B">
        <w:rPr>
          <w:b/>
          <w:lang w:val="sq-AL"/>
        </w:rPr>
        <w:t>Faktorët teknikë</w:t>
      </w:r>
      <w:r w:rsidRPr="00F97B4B">
        <w:rPr>
          <w:lang w:val="sq-AL"/>
        </w:rPr>
        <w:t>: Regjistrat Elektronik Kombëtarë për NE, personat me aftësi të kufizuar dhe shërbimet sociale kanë përmirësuar aksesin dhe bashkëpunimin mes institucioneve. Administrata e bashkisë, e aftë në përdorimin e këtyre regjistrave ka ndihmuar për lehtësimin e procesit të aksesit të individëve në nevojë për shërbime sociale.</w:t>
      </w:r>
    </w:p>
    <w:p w14:paraId="13C5761F" w14:textId="5E1DA1B5" w:rsidR="005039BB" w:rsidRPr="00F97B4B" w:rsidRDefault="005039BB" w:rsidP="005039BB">
      <w:pPr>
        <w:jc w:val="both"/>
        <w:rPr>
          <w:lang w:val="sq-AL"/>
        </w:rPr>
      </w:pPr>
      <w:r w:rsidRPr="00F97B4B">
        <w:rPr>
          <w:b/>
          <w:lang w:val="sq-AL"/>
        </w:rPr>
        <w:t>Faktori ligjorë:</w:t>
      </w:r>
      <w:r w:rsidRPr="00F97B4B">
        <w:rPr>
          <w:lang w:val="sq-AL"/>
        </w:rPr>
        <w:t xml:space="preserve"> Bashkia </w:t>
      </w:r>
      <w:r w:rsidR="00984443">
        <w:rPr>
          <w:lang w:val="sq-AL"/>
        </w:rPr>
        <w:t>Puke</w:t>
      </w:r>
      <w:r w:rsidRPr="00F97B4B">
        <w:rPr>
          <w:lang w:val="sq-AL"/>
        </w:rPr>
        <w:t xml:space="preserve"> ndërton veprimtarinë e saj në përputhje me ligjin, duke siguruar që ofrimi i shërbimeve sociale të përputhet me standardet dhe rregulloret vendore dhe kombëtare.</w:t>
      </w:r>
    </w:p>
    <w:p w14:paraId="19514FC4" w14:textId="77777777" w:rsidR="005039BB" w:rsidRPr="00F97B4B" w:rsidRDefault="005039BB" w:rsidP="005039BB">
      <w:pPr>
        <w:jc w:val="both"/>
        <w:rPr>
          <w:lang w:val="sq-AL"/>
        </w:rPr>
      </w:pPr>
      <w:r w:rsidRPr="00F01FC4">
        <w:rPr>
          <w:b/>
          <w:lang w:val="sq-AL"/>
        </w:rPr>
        <w:t>Faktorët mjedisorë</w:t>
      </w:r>
      <w:r w:rsidRPr="00900A54">
        <w:rPr>
          <w:b/>
          <w:lang w:val="sq-AL"/>
        </w:rPr>
        <w:t>:</w:t>
      </w:r>
      <w:r w:rsidRPr="00900A54">
        <w:rPr>
          <w:lang w:val="sq-AL"/>
        </w:rPr>
        <w:t xml:space="preserve"> Pozita gjeografike</w:t>
      </w:r>
      <w:r w:rsidRPr="00F97B4B">
        <w:rPr>
          <w:lang w:val="sq-AL"/>
        </w:rPr>
        <w:t xml:space="preserve"> dhe potenciali natyror i bashkisë (bimët mjekësore, turizmi) janë elemente pozitive që mund të ndikojnë në rritjen e shërbimeve sociale. Megjithatë, sfidat si emigrimi, plakja e popullsisë dhe mungesa e shoqërisë civile kërkojnë strategji të veçanta për të adresuar nevojat sociale në këto kushte.</w:t>
      </w:r>
    </w:p>
    <w:p w14:paraId="5F6DD723" w14:textId="77777777" w:rsidR="00D521FF" w:rsidRDefault="00D521FF" w:rsidP="005039BB">
      <w:pPr>
        <w:jc w:val="both"/>
        <w:rPr>
          <w:lang w:val="sq-AL"/>
        </w:rPr>
      </w:pPr>
    </w:p>
    <w:p w14:paraId="13E337C1" w14:textId="54E3C354" w:rsidR="005039BB" w:rsidRDefault="005039BB" w:rsidP="005039BB">
      <w:pPr>
        <w:jc w:val="both"/>
        <w:rPr>
          <w:lang w:val="sq-AL"/>
        </w:rPr>
      </w:pPr>
      <w:r w:rsidRPr="00F97B4B">
        <w:rPr>
          <w:lang w:val="sq-AL"/>
        </w:rPr>
        <w:t xml:space="preserve">Në përgjithësi, ndryshimet dhe përpjekjet që po bëhen në nivel lokal për të përmirësuar ofrimin e shërbimeve sociale tregojnë për një angazhim pozitiv dhe një vizion për rritjen e cilësisë së jetës së komunitetit në Bashkinë </w:t>
      </w:r>
      <w:r w:rsidR="00577F25">
        <w:rPr>
          <w:lang w:val="sq-AL"/>
        </w:rPr>
        <w:t>Puke</w:t>
      </w:r>
      <w:r w:rsidRPr="00F97B4B">
        <w:rPr>
          <w:lang w:val="sq-AL"/>
        </w:rPr>
        <w:t>. Bashkia po përdor plane dhe programe për të maksimizuar përparësitë dhe rritur cilësinë e shërbimeve sociale duke marrë parasysh faktorët mjedisore dhe kushtet e rrethit.</w:t>
      </w:r>
    </w:p>
    <w:p w14:paraId="0EDE9905" w14:textId="77777777" w:rsidR="008D30DB" w:rsidRDefault="008D30DB" w:rsidP="005039BB">
      <w:pPr>
        <w:jc w:val="both"/>
        <w:rPr>
          <w:lang w:val="sq-AL"/>
        </w:rPr>
      </w:pPr>
    </w:p>
    <w:p w14:paraId="0F719A3B" w14:textId="77777777" w:rsidR="005039BB" w:rsidRPr="008D30DB" w:rsidRDefault="008D30DB" w:rsidP="005039BB">
      <w:pPr>
        <w:pStyle w:val="Heading2"/>
        <w:rPr>
          <w:rFonts w:ascii="Times New Roman" w:hAnsi="Times New Roman" w:cs="Times New Roman"/>
          <w:sz w:val="24"/>
          <w:szCs w:val="24"/>
          <w:lang w:val="sq-AL"/>
        </w:rPr>
      </w:pPr>
      <w:bookmarkStart w:id="14" w:name="_Toc151145099"/>
      <w:bookmarkStart w:id="15" w:name="_Toc204608638"/>
      <w:r w:rsidRPr="008D30DB">
        <w:rPr>
          <w:rFonts w:ascii="Times New Roman" w:hAnsi="Times New Roman" w:cs="Times New Roman"/>
          <w:sz w:val="24"/>
          <w:szCs w:val="24"/>
          <w:lang w:val="sq-AL"/>
        </w:rPr>
        <w:t xml:space="preserve">4.3 </w:t>
      </w:r>
      <w:r w:rsidR="005039BB" w:rsidRPr="008D30DB">
        <w:rPr>
          <w:rFonts w:ascii="Times New Roman" w:hAnsi="Times New Roman" w:cs="Times New Roman"/>
          <w:sz w:val="24"/>
          <w:szCs w:val="24"/>
          <w:lang w:val="sq-AL"/>
        </w:rPr>
        <w:t>Analiza S</w:t>
      </w:r>
      <w:r w:rsidRPr="008D30DB">
        <w:rPr>
          <w:rFonts w:ascii="Times New Roman" w:hAnsi="Times New Roman" w:cs="Times New Roman"/>
          <w:sz w:val="24"/>
          <w:szCs w:val="24"/>
          <w:lang w:val="sq-AL"/>
        </w:rPr>
        <w:t>W</w:t>
      </w:r>
      <w:r w:rsidR="005039BB" w:rsidRPr="008D30DB">
        <w:rPr>
          <w:rFonts w:ascii="Times New Roman" w:hAnsi="Times New Roman" w:cs="Times New Roman"/>
          <w:sz w:val="24"/>
          <w:szCs w:val="24"/>
          <w:lang w:val="sq-AL"/>
        </w:rPr>
        <w:t>OT</w:t>
      </w:r>
      <w:bookmarkEnd w:id="14"/>
      <w:bookmarkEnd w:id="15"/>
    </w:p>
    <w:p w14:paraId="143679C4" w14:textId="77777777" w:rsidR="0064057F" w:rsidRDefault="0064057F" w:rsidP="0064057F">
      <w:pPr>
        <w:spacing w:after="200" w:line="276" w:lineRule="auto"/>
        <w:jc w:val="both"/>
        <w:rPr>
          <w:b/>
          <w:bCs/>
          <w:lang w:val="en-GB"/>
        </w:rPr>
      </w:pPr>
    </w:p>
    <w:p w14:paraId="08EA0DC0" w14:textId="77777777" w:rsidR="0064057F" w:rsidRPr="0064057F" w:rsidRDefault="0064057F" w:rsidP="0064057F">
      <w:pPr>
        <w:spacing w:after="200" w:line="276" w:lineRule="auto"/>
        <w:jc w:val="both"/>
        <w:rPr>
          <w:lang w:val="en-GB"/>
        </w:rPr>
      </w:pPr>
      <w:r w:rsidRPr="0064057F">
        <w:rPr>
          <w:b/>
          <w:bCs/>
          <w:lang w:val="en-GB"/>
        </w:rPr>
        <w:t>Pikat e forta</w:t>
      </w:r>
    </w:p>
    <w:p w14:paraId="161E4569" w14:textId="18E7FB3C" w:rsidR="0064057F" w:rsidRPr="0064057F" w:rsidRDefault="0064057F" w:rsidP="0064057F">
      <w:pPr>
        <w:spacing w:after="200" w:line="276" w:lineRule="auto"/>
        <w:jc w:val="both"/>
        <w:rPr>
          <w:lang w:val="en-GB"/>
        </w:rPr>
      </w:pPr>
      <w:r w:rsidRPr="0064057F">
        <w:rPr>
          <w:lang w:val="en-GB"/>
        </w:rPr>
        <w:t xml:space="preserve">Nevoja emergjente për shërbime sociale të ndjeshme ndaj dimensionit gjinor ka nxitur ndërgjegjësimin dhe vullnetin institucional për të ndërmarrë veprime konkrete në drejtim të barazisë gjinore në Bashkinë </w:t>
      </w:r>
      <w:r w:rsidR="00577F25">
        <w:rPr>
          <w:lang w:val="en-GB"/>
        </w:rPr>
        <w:t>Puke</w:t>
      </w:r>
      <w:r w:rsidRPr="0064057F">
        <w:rPr>
          <w:lang w:val="en-GB"/>
        </w:rPr>
        <w:t>. Kjo është reflektuar në angazhimin e strukturave vendore për të përmirësuar ofertën e shërbimeve, duke vendosur në fokus edhe kategoritë e margjinalizuara gjinore si gratë kryefamiljare, viktimat e dhunës në familje dhe vajzat në situatë rreziku</w:t>
      </w:r>
      <w:r>
        <w:rPr>
          <w:lang w:val="en-GB"/>
        </w:rPr>
        <w:t xml:space="preserve"> </w:t>
      </w:r>
      <w:r w:rsidRPr="0064057F">
        <w:rPr>
          <w:lang w:val="en-GB"/>
        </w:rPr>
        <w:t xml:space="preserve">Gjithashtu, Bashkia </w:t>
      </w:r>
      <w:r w:rsidR="00577F25">
        <w:rPr>
          <w:lang w:val="en-GB"/>
        </w:rPr>
        <w:t>Puke</w:t>
      </w:r>
      <w:r w:rsidRPr="0064057F">
        <w:rPr>
          <w:lang w:val="en-GB"/>
        </w:rPr>
        <w:t xml:space="preserve"> disponon kapacitete njerëzore dhe teknike të përshtatshme për të menaxhuar dhe zhvilluar shërbime sociale, përfshirë rolet e reja të krijuara në strukturë për familjen, fëmijën dhe koordinimin e rasteve në nevojë, duke treguar potencial për rritje dhe përshtatje me qasjen gjinore. Përvoja e mëparshme në projekte sociale dhe përpjekjet për të tërhequr fonde përmes bashkëpunimeve me institucione dhe donatorë e bën Bashkinë </w:t>
      </w:r>
      <w:r w:rsidR="00577F25">
        <w:rPr>
          <w:lang w:val="en-GB"/>
        </w:rPr>
        <w:t>Puke</w:t>
      </w:r>
      <w:r w:rsidRPr="0064057F">
        <w:rPr>
          <w:lang w:val="en-GB"/>
        </w:rPr>
        <w:t xml:space="preserve"> të gatshme për të zhvilluar më tej politika të ndjeshme gjinore dhe për të institucionalizuar shërbimet në këtë fushë.</w:t>
      </w:r>
    </w:p>
    <w:p w14:paraId="22598BA3" w14:textId="77777777" w:rsidR="0064057F" w:rsidRDefault="0064057F" w:rsidP="0064057F">
      <w:pPr>
        <w:spacing w:after="200" w:line="276" w:lineRule="auto"/>
        <w:jc w:val="both"/>
        <w:rPr>
          <w:b/>
          <w:bCs/>
          <w:lang w:val="en-GB"/>
        </w:rPr>
      </w:pPr>
    </w:p>
    <w:p w14:paraId="604EB26C" w14:textId="77777777" w:rsidR="0064057F" w:rsidRPr="0064057F" w:rsidRDefault="0064057F" w:rsidP="0064057F">
      <w:pPr>
        <w:spacing w:after="200" w:line="276" w:lineRule="auto"/>
        <w:jc w:val="both"/>
        <w:rPr>
          <w:lang w:val="en-GB"/>
        </w:rPr>
      </w:pPr>
      <w:r w:rsidRPr="0064057F">
        <w:rPr>
          <w:b/>
          <w:bCs/>
          <w:lang w:val="en-GB"/>
        </w:rPr>
        <w:t>Pikat e dobëta</w:t>
      </w:r>
    </w:p>
    <w:p w14:paraId="461FBAA4" w14:textId="6F579F4C" w:rsidR="0064057F" w:rsidRPr="0064057F" w:rsidRDefault="0064057F" w:rsidP="0064057F">
      <w:pPr>
        <w:spacing w:after="200" w:line="276" w:lineRule="auto"/>
        <w:jc w:val="both"/>
        <w:rPr>
          <w:lang w:val="en-GB"/>
        </w:rPr>
      </w:pPr>
      <w:r w:rsidRPr="0064057F">
        <w:rPr>
          <w:lang w:val="en-GB"/>
        </w:rPr>
        <w:t xml:space="preserve">Një nga sfidat kryesore në drejtim të barazisë gjinore mbetet mungesa e informacionit të strukturuar dhe të disagreguar sipas gjinisë për grupet vulnerabël, e cila e kufizon aftësinë e Bashkisë për të planifikuar dhe ofruar shërbime të përshtatura. Po ashtu, mungesa e një fondi të dedikuar për nevojat e grave dhe vajzave në rrezik, apo për mbështetjen e viktimave të dhunës në familje, kufizon ndërhyrjet efektive dhe të qëndrueshme. Mbështetja e kufizuar </w:t>
      </w:r>
      <w:r w:rsidRPr="0064057F">
        <w:rPr>
          <w:lang w:val="en-GB"/>
        </w:rPr>
        <w:lastRenderedPageBreak/>
        <w:t xml:space="preserve">financiare për zbatimin e politikave gjinore dhe mungesa e një praktike të buxhetimit të ndjeshëm gjinor përbëjnë një boshllëk të rëndësishëm. Po ashtu, Bashkia </w:t>
      </w:r>
      <w:r w:rsidR="00577F25">
        <w:rPr>
          <w:lang w:val="en-GB"/>
        </w:rPr>
        <w:t>Puke</w:t>
      </w:r>
      <w:r w:rsidRPr="0064057F">
        <w:rPr>
          <w:lang w:val="en-GB"/>
        </w:rPr>
        <w:t xml:space="preserve"> përballet me mungesë partneritetesh të qëndrueshme me organizata që kanë përvojë në fushën e barazisë gjinore dhe mbrojtjes së të drejtave të grave, ndërsa prania e ulët e organizatave të shoqërisë civile e kufizon ofrimin e shërbimeve joformale dhe mbështetëse. Mungesa e ekspertizës vendore në fushën e planifikimit, zbatimit dhe monitorimit të politikave për barazi gjinore dhe për mbrojtjen nga dhuna përbën gjithashtu një kufizim për zbatimin me sukses të këtij plani.</w:t>
      </w:r>
    </w:p>
    <w:p w14:paraId="4A480483" w14:textId="77777777" w:rsidR="0064057F" w:rsidRPr="0064057F" w:rsidRDefault="0064057F" w:rsidP="0064057F">
      <w:pPr>
        <w:spacing w:after="200" w:line="276" w:lineRule="auto"/>
        <w:jc w:val="both"/>
        <w:rPr>
          <w:lang w:val="en-GB"/>
        </w:rPr>
      </w:pPr>
      <w:r w:rsidRPr="0064057F">
        <w:rPr>
          <w:b/>
          <w:bCs/>
          <w:lang w:val="en-GB"/>
        </w:rPr>
        <w:t>Mundësitë</w:t>
      </w:r>
    </w:p>
    <w:p w14:paraId="47E1F4C0" w14:textId="0EF97B6F" w:rsidR="0064057F" w:rsidRPr="0064057F" w:rsidRDefault="0064057F" w:rsidP="0064057F">
      <w:pPr>
        <w:spacing w:after="200" w:line="276" w:lineRule="auto"/>
        <w:jc w:val="both"/>
        <w:rPr>
          <w:lang w:val="en-GB"/>
        </w:rPr>
      </w:pPr>
      <w:r w:rsidRPr="0064057F">
        <w:rPr>
          <w:lang w:val="en-GB"/>
        </w:rPr>
        <w:t xml:space="preserve">Proceset reformuese në nivel kombëtar, përfshirë decentralizimin e shërbimeve sociale dhe përmirësimin e kuadrit ligjor dhe strategjik për barazinë gjinore, ofrojnë një terren të favorshëm për Bashkinë </w:t>
      </w:r>
      <w:r w:rsidR="00402BF0">
        <w:rPr>
          <w:lang w:val="en-GB"/>
        </w:rPr>
        <w:t>Puke</w:t>
      </w:r>
      <w:r w:rsidRPr="0064057F">
        <w:rPr>
          <w:lang w:val="en-GB"/>
        </w:rPr>
        <w:t xml:space="preserve"> që të ndërtojë një qasje gjithëpërfshirëse ndaj politikave me ndjeshmëri gjinore. Mbështetja e vazhdueshme nga Ministria e Shëndetësisë dhe Mbrojtjes Sociale, si dhe mundësitë për financim nga fondet e qeverisë qëndrore apo donatorë ndërkombëtarë, hapin rrugë për zbatimin e masave konkrete në mbështetje të grave dhe vajzave. Gjithashtu, mundësia për bashkëpunim me sektorin privat dhe përfshirja e bizneseve lokale në mbështetje të shërbimeve sociale e fuqizon dimensionin komunitar të barazisë gjinore. Mbështetja në trajnime për stafin dhe ngritja e kapaciteteve institucionale janë një tjetër mundësi reale për të integruar perspektivën gjinore në mënyrë të qëndrueshme në politikat dhe programet vendore.</w:t>
      </w:r>
    </w:p>
    <w:p w14:paraId="42773773" w14:textId="77777777" w:rsidR="0064057F" w:rsidRPr="0064057F" w:rsidRDefault="0064057F" w:rsidP="0064057F">
      <w:pPr>
        <w:spacing w:after="200" w:line="276" w:lineRule="auto"/>
        <w:jc w:val="both"/>
        <w:rPr>
          <w:lang w:val="en-GB"/>
        </w:rPr>
      </w:pPr>
      <w:r w:rsidRPr="0064057F">
        <w:rPr>
          <w:b/>
          <w:bCs/>
          <w:lang w:val="en-GB"/>
        </w:rPr>
        <w:t>Kërcënimet (Rreziqet)</w:t>
      </w:r>
    </w:p>
    <w:p w14:paraId="36D95C0F" w14:textId="77777777" w:rsidR="008169A4" w:rsidRDefault="0064057F" w:rsidP="0064057F">
      <w:pPr>
        <w:spacing w:after="200" w:line="276" w:lineRule="auto"/>
        <w:jc w:val="both"/>
        <w:rPr>
          <w:lang w:val="en-GB"/>
        </w:rPr>
      </w:pPr>
      <w:r w:rsidRPr="0064057F">
        <w:rPr>
          <w:lang w:val="en-GB"/>
        </w:rPr>
        <w:t>Migrimi i lartë dhe ndryshimet demografike të paparashikuara në komunitet mund të ndikojnë në strukturën e familjes dhe të rrisin kërkesat për shërbime sociale me fokus gjinor, të cilat aktualisht janë të kufizuara. Mungesa e koordinimit ndërsektorial mes njësive brenda Bashkisë dhe mes institucioneve të tjera vendore mund të ndikojë në efektivitetin e ndërhyrjeve për barazi gjinore dhe të pengojë krijimin e një mekanizmi funksional të referimit. Mungesa e interesit dhe përfshirjes së organizatave të shoqërisë civile në fushën gjinore e kufizon zhvillimin e programeve inovative dhe mbështetëse për gratë dhe vajzat në nevojë, duke rritur varësinë nga burimet publike. Po ashtu, mungesa e traditës në ndërtimin e partneriteteve për barazi gjinore dhe mungesa e përvojës në administrimin e fondeve për këtë qëllim mund të përbëjnë një pengesë për zbatimin efektiv të Planit Vendor të Veprimit për Barazinë Gjino</w:t>
      </w:r>
      <w:r w:rsidR="00097E7D">
        <w:rPr>
          <w:lang w:val="en-GB"/>
        </w:rPr>
        <w:t>re.</w:t>
      </w:r>
    </w:p>
    <w:p w14:paraId="23D47CD2" w14:textId="007C89C6" w:rsidR="00097E7D" w:rsidRDefault="00097E7D" w:rsidP="0064057F">
      <w:pPr>
        <w:spacing w:after="200" w:line="276" w:lineRule="auto"/>
        <w:jc w:val="both"/>
        <w:rPr>
          <w:b/>
          <w:bCs/>
          <w:lang w:val="en-GB"/>
        </w:rPr>
      </w:pPr>
      <w:r w:rsidRPr="00097E7D">
        <w:rPr>
          <w:b/>
          <w:bCs/>
          <w:lang w:val="en-GB"/>
        </w:rPr>
        <w:t>Implikime per Planin Vendor te Barazise Gjinore</w:t>
      </w:r>
    </w:p>
    <w:p w14:paraId="1A932FF7" w14:textId="77777777" w:rsidR="00097E7D" w:rsidRDefault="00097E7D" w:rsidP="0064057F">
      <w:pPr>
        <w:spacing w:after="200" w:line="276" w:lineRule="auto"/>
        <w:jc w:val="both"/>
        <w:rPr>
          <w:b/>
          <w:bCs/>
          <w:lang w:val="en-GB"/>
        </w:rPr>
      </w:pPr>
      <w:r>
        <w:rPr>
          <w:b/>
          <w:bCs/>
          <w:lang w:val="en-GB"/>
        </w:rPr>
        <w:t>Keto te dhena tregojne nevojen per:</w:t>
      </w:r>
    </w:p>
    <w:p w14:paraId="07281A94" w14:textId="500C367E" w:rsidR="00B93F9F" w:rsidRDefault="00B93F9F" w:rsidP="00B93F9F">
      <w:pPr>
        <w:pStyle w:val="ListParagraph"/>
        <w:numPr>
          <w:ilvl w:val="0"/>
          <w:numId w:val="4"/>
        </w:numPr>
        <w:spacing w:after="200" w:line="276" w:lineRule="auto"/>
        <w:jc w:val="both"/>
        <w:rPr>
          <w:lang w:val="en-GB"/>
        </w:rPr>
      </w:pPr>
      <w:r w:rsidRPr="00B93F9F">
        <w:rPr>
          <w:lang w:val="en-GB"/>
        </w:rPr>
        <w:t>Politika te posaçme per grate rurale;</w:t>
      </w:r>
    </w:p>
    <w:p w14:paraId="5C61E0C5" w14:textId="5C7079CF" w:rsidR="00B93F9F" w:rsidRDefault="00B93F9F" w:rsidP="00B93F9F">
      <w:pPr>
        <w:pStyle w:val="ListParagraph"/>
        <w:numPr>
          <w:ilvl w:val="0"/>
          <w:numId w:val="4"/>
        </w:numPr>
        <w:spacing w:after="200" w:line="276" w:lineRule="auto"/>
        <w:jc w:val="both"/>
        <w:rPr>
          <w:lang w:val="en-GB"/>
        </w:rPr>
      </w:pPr>
      <w:r>
        <w:rPr>
          <w:lang w:val="en-GB"/>
        </w:rPr>
        <w:t>Mbeshtetje per grate femrore dhe sipermarrese;</w:t>
      </w:r>
    </w:p>
    <w:p w14:paraId="44CA9603" w14:textId="52853C8B" w:rsidR="00B93F9F" w:rsidRDefault="00B93F9F" w:rsidP="00B93F9F">
      <w:pPr>
        <w:pStyle w:val="ListParagraph"/>
        <w:numPr>
          <w:ilvl w:val="0"/>
          <w:numId w:val="4"/>
        </w:numPr>
        <w:spacing w:after="200" w:line="276" w:lineRule="auto"/>
        <w:jc w:val="both"/>
        <w:rPr>
          <w:lang w:val="en-GB"/>
        </w:rPr>
      </w:pPr>
      <w:r>
        <w:rPr>
          <w:lang w:val="en-GB"/>
        </w:rPr>
        <w:t>Sherbime sociale ne njesite me te largeta administrative;</w:t>
      </w:r>
    </w:p>
    <w:p w14:paraId="64B33329" w14:textId="32798476" w:rsidR="00B93F9F" w:rsidRDefault="00B93F9F" w:rsidP="00B93F9F">
      <w:pPr>
        <w:pStyle w:val="ListParagraph"/>
        <w:numPr>
          <w:ilvl w:val="0"/>
          <w:numId w:val="4"/>
        </w:numPr>
        <w:spacing w:after="200" w:line="276" w:lineRule="auto"/>
        <w:jc w:val="both"/>
        <w:rPr>
          <w:lang w:val="en-GB"/>
        </w:rPr>
      </w:pPr>
      <w:r>
        <w:rPr>
          <w:lang w:val="en-GB"/>
        </w:rPr>
        <w:t>Programe per fuqizimin ekonomik te vajzava te reja;</w:t>
      </w:r>
    </w:p>
    <w:p w14:paraId="4FAB302D" w14:textId="542AF075" w:rsidR="00B93F9F" w:rsidRDefault="00B93F9F" w:rsidP="00B93F9F">
      <w:pPr>
        <w:pStyle w:val="ListParagraph"/>
        <w:numPr>
          <w:ilvl w:val="0"/>
          <w:numId w:val="4"/>
        </w:numPr>
        <w:spacing w:after="200" w:line="276" w:lineRule="auto"/>
        <w:jc w:val="both"/>
        <w:rPr>
          <w:lang w:val="en-GB"/>
        </w:rPr>
      </w:pPr>
      <w:r>
        <w:rPr>
          <w:lang w:val="en-GB"/>
        </w:rPr>
        <w:t>Per fshirje me te madhe te grave ne vendimmarrje lokale;</w:t>
      </w:r>
    </w:p>
    <w:p w14:paraId="52A9D3B7" w14:textId="03E382C4" w:rsidR="00B93F9F" w:rsidRDefault="00B93F9F" w:rsidP="00B93F9F">
      <w:pPr>
        <w:pStyle w:val="ListParagraph"/>
        <w:numPr>
          <w:ilvl w:val="0"/>
          <w:numId w:val="4"/>
        </w:numPr>
        <w:spacing w:after="200" w:line="276" w:lineRule="auto"/>
        <w:jc w:val="both"/>
        <w:rPr>
          <w:lang w:val="en-GB"/>
        </w:rPr>
      </w:pPr>
      <w:r>
        <w:rPr>
          <w:lang w:val="en-GB"/>
        </w:rPr>
        <w:t>Shtim te sherbimeve sociale per te moshuarit;</w:t>
      </w:r>
    </w:p>
    <w:p w14:paraId="3A9CA20C" w14:textId="60083C4A" w:rsidR="00B93F9F" w:rsidRDefault="00B93F9F" w:rsidP="00B93F9F">
      <w:pPr>
        <w:pStyle w:val="ListParagraph"/>
        <w:numPr>
          <w:ilvl w:val="0"/>
          <w:numId w:val="4"/>
        </w:numPr>
        <w:spacing w:after="200" w:line="276" w:lineRule="auto"/>
        <w:jc w:val="both"/>
        <w:rPr>
          <w:lang w:val="en-GB"/>
        </w:rPr>
      </w:pPr>
      <w:r>
        <w:rPr>
          <w:lang w:val="en-GB"/>
        </w:rPr>
        <w:t>Mbeshtetje per grate e moshuara qe jetojne vetem;</w:t>
      </w:r>
    </w:p>
    <w:p w14:paraId="42F82BF1" w14:textId="765F9F15" w:rsidR="00B93F9F" w:rsidRDefault="00B93F9F" w:rsidP="00B93F9F">
      <w:pPr>
        <w:pStyle w:val="ListParagraph"/>
        <w:numPr>
          <w:ilvl w:val="0"/>
          <w:numId w:val="4"/>
        </w:numPr>
        <w:spacing w:after="200" w:line="276" w:lineRule="auto"/>
        <w:jc w:val="both"/>
        <w:rPr>
          <w:lang w:val="en-GB"/>
        </w:rPr>
      </w:pPr>
      <w:r>
        <w:rPr>
          <w:lang w:val="en-GB"/>
        </w:rPr>
        <w:t>Sherbime shendetsore komunitare ne zonat rurale;</w:t>
      </w:r>
    </w:p>
    <w:p w14:paraId="00A5BDA1" w14:textId="751577D5" w:rsidR="00B93F9F" w:rsidRDefault="00B93F9F" w:rsidP="00B93F9F">
      <w:pPr>
        <w:pStyle w:val="ListParagraph"/>
        <w:numPr>
          <w:ilvl w:val="0"/>
          <w:numId w:val="4"/>
        </w:numPr>
        <w:spacing w:after="200" w:line="276" w:lineRule="auto"/>
        <w:jc w:val="both"/>
        <w:rPr>
          <w:lang w:val="en-GB"/>
        </w:rPr>
      </w:pPr>
      <w:r>
        <w:rPr>
          <w:lang w:val="en-GB"/>
        </w:rPr>
        <w:lastRenderedPageBreak/>
        <w:t>Programe sociale per perfshirjen active te te moshuarve;</w:t>
      </w:r>
    </w:p>
    <w:p w14:paraId="31575E8E" w14:textId="519B5312" w:rsidR="00B93F9F" w:rsidRPr="00B93F9F" w:rsidRDefault="00B93F9F" w:rsidP="00B93F9F">
      <w:pPr>
        <w:pStyle w:val="ListParagraph"/>
        <w:numPr>
          <w:ilvl w:val="0"/>
          <w:numId w:val="4"/>
        </w:numPr>
        <w:spacing w:after="200" w:line="276" w:lineRule="auto"/>
        <w:jc w:val="both"/>
        <w:rPr>
          <w:lang w:val="en-GB"/>
        </w:rPr>
      </w:pPr>
      <w:r>
        <w:rPr>
          <w:lang w:val="en-GB"/>
        </w:rPr>
        <w:t>Mbeshtetje ekonomike dhe sociale per grate kryefamiljare te moshes se trete;</w:t>
      </w:r>
    </w:p>
    <w:p w14:paraId="72971E7A" w14:textId="695A1AE0" w:rsidR="00B93F9F" w:rsidRPr="00B93F9F" w:rsidRDefault="00B93F9F" w:rsidP="00B93F9F">
      <w:pPr>
        <w:spacing w:after="200" w:line="276" w:lineRule="auto"/>
        <w:jc w:val="both"/>
        <w:rPr>
          <w:b/>
          <w:bCs/>
          <w:lang w:val="en-GB"/>
        </w:rPr>
        <w:sectPr w:rsidR="00B93F9F" w:rsidRPr="00B93F9F" w:rsidSect="00D8623A">
          <w:footerReference w:type="default" r:id="rId11"/>
          <w:pgSz w:w="11906" w:h="16838"/>
          <w:pgMar w:top="1440" w:right="1440" w:bottom="1440" w:left="1440" w:header="708" w:footer="708" w:gutter="0"/>
          <w:cols w:space="708"/>
          <w:titlePg/>
          <w:docGrid w:linePitch="360"/>
        </w:sectPr>
      </w:pPr>
    </w:p>
    <w:p w14:paraId="0279C4C8" w14:textId="77777777" w:rsidR="005039BB" w:rsidRPr="008169A4" w:rsidRDefault="008D30DB" w:rsidP="008169A4">
      <w:pPr>
        <w:pStyle w:val="Heading1"/>
        <w:rPr>
          <w:rFonts w:ascii="Times New Roman" w:eastAsia="Calibri" w:hAnsi="Times New Roman" w:cs="Times New Roman"/>
          <w:sz w:val="24"/>
          <w:szCs w:val="24"/>
          <w:lang w:val="sq-AL"/>
        </w:rPr>
      </w:pPr>
      <w:bookmarkStart w:id="16" w:name="_Toc204608639"/>
      <w:r>
        <w:rPr>
          <w:rFonts w:ascii="Times New Roman" w:eastAsia="Calibri" w:hAnsi="Times New Roman" w:cs="Times New Roman"/>
          <w:sz w:val="24"/>
          <w:szCs w:val="24"/>
          <w:lang w:val="sq-AL"/>
        </w:rPr>
        <w:lastRenderedPageBreak/>
        <w:t xml:space="preserve">V </w:t>
      </w:r>
      <w:r w:rsidR="005039BB" w:rsidRPr="008169A4">
        <w:rPr>
          <w:rFonts w:ascii="Times New Roman" w:eastAsia="Calibri" w:hAnsi="Times New Roman" w:cs="Times New Roman"/>
          <w:sz w:val="24"/>
          <w:szCs w:val="24"/>
          <w:lang w:val="sq-AL"/>
        </w:rPr>
        <w:t xml:space="preserve">PLANI </w:t>
      </w:r>
      <w:r w:rsidR="008C47A0" w:rsidRPr="008169A4">
        <w:rPr>
          <w:rFonts w:ascii="Times New Roman" w:eastAsia="Calibri" w:hAnsi="Times New Roman" w:cs="Times New Roman"/>
          <w:sz w:val="24"/>
          <w:szCs w:val="24"/>
          <w:lang w:val="sq-AL"/>
        </w:rPr>
        <w:t>V</w:t>
      </w:r>
      <w:r w:rsidR="005039BB" w:rsidRPr="008169A4">
        <w:rPr>
          <w:rFonts w:ascii="Times New Roman" w:eastAsia="Calibri" w:hAnsi="Times New Roman" w:cs="Times New Roman"/>
          <w:sz w:val="24"/>
          <w:szCs w:val="24"/>
          <w:lang w:val="sq-AL"/>
        </w:rPr>
        <w:t>EPRIMIT</w:t>
      </w:r>
      <w:bookmarkEnd w:id="16"/>
    </w:p>
    <w:p w14:paraId="147ED412" w14:textId="77777777" w:rsidR="008169A4" w:rsidRDefault="008169A4" w:rsidP="005039BB">
      <w:pPr>
        <w:spacing w:after="200" w:line="276" w:lineRule="auto"/>
        <w:jc w:val="both"/>
        <w:rPr>
          <w:rFonts w:eastAsia="Calibri"/>
          <w:bCs/>
          <w:lang w:val="sq-AL"/>
        </w:rPr>
      </w:pPr>
    </w:p>
    <w:p w14:paraId="609A7ED8" w14:textId="77777777" w:rsidR="008169A4" w:rsidRPr="00F97B4B" w:rsidRDefault="008169A4" w:rsidP="008169A4">
      <w:pPr>
        <w:jc w:val="both"/>
        <w:rPr>
          <w:b/>
          <w:lang w:val="sq-AL"/>
        </w:rPr>
      </w:pPr>
    </w:p>
    <w:p w14:paraId="2201202D" w14:textId="77777777" w:rsidR="008169A4" w:rsidRPr="00F97B4B" w:rsidRDefault="008169A4" w:rsidP="008169A4">
      <w:pPr>
        <w:jc w:val="center"/>
        <w:rPr>
          <w:b/>
          <w:lang w:val="sq-AL"/>
        </w:rPr>
      </w:pPr>
      <w:r w:rsidRPr="00F97B4B">
        <w:rPr>
          <w:b/>
          <w:lang w:val="sq-AL"/>
        </w:rPr>
        <w:t xml:space="preserve">MATRICA E PLANIT VENDOR </w:t>
      </w:r>
      <w:r>
        <w:rPr>
          <w:b/>
          <w:lang w:val="sq-AL"/>
        </w:rPr>
        <w:t>TË VEPRIMIT PËR BARAZINË GJINORE</w:t>
      </w:r>
    </w:p>
    <w:p w14:paraId="203C33EB" w14:textId="77777777" w:rsidR="008169A4" w:rsidRPr="00F97B4B" w:rsidRDefault="008169A4" w:rsidP="008169A4">
      <w:pPr>
        <w:jc w:val="both"/>
        <w:rPr>
          <w:b/>
          <w:i/>
          <w:u w:val="single"/>
          <w:lang w:val="sq-AL"/>
        </w:rPr>
      </w:pPr>
    </w:p>
    <w:p w14:paraId="40A0827B" w14:textId="77777777" w:rsidR="008169A4" w:rsidRPr="00F97B4B" w:rsidRDefault="008169A4" w:rsidP="008169A4">
      <w:pPr>
        <w:jc w:val="both"/>
        <w:rPr>
          <w:b/>
          <w:i/>
          <w:u w:val="single"/>
          <w:lang w:val="sq-AL"/>
        </w:rPr>
      </w:pPr>
    </w:p>
    <w:tbl>
      <w:tblPr>
        <w:tblW w:w="17936" w:type="dxa"/>
        <w:tblLayout w:type="fixed"/>
        <w:tblLook w:val="04A0" w:firstRow="1" w:lastRow="0" w:firstColumn="1" w:lastColumn="0" w:noHBand="0" w:noVBand="1"/>
      </w:tblPr>
      <w:tblGrid>
        <w:gridCol w:w="1518"/>
        <w:gridCol w:w="3575"/>
        <w:gridCol w:w="3261"/>
        <w:gridCol w:w="996"/>
        <w:gridCol w:w="1080"/>
        <w:gridCol w:w="1882"/>
        <w:gridCol w:w="1358"/>
        <w:gridCol w:w="15"/>
        <w:gridCol w:w="1333"/>
        <w:gridCol w:w="2749"/>
        <w:gridCol w:w="169"/>
      </w:tblGrid>
      <w:tr w:rsidR="008169A4" w:rsidRPr="00592DAE" w14:paraId="160B57E6" w14:textId="77777777" w:rsidTr="00341CE7">
        <w:trPr>
          <w:gridAfter w:val="2"/>
          <w:wAfter w:w="2918" w:type="dxa"/>
          <w:trHeight w:val="630"/>
        </w:trPr>
        <w:tc>
          <w:tcPr>
            <w:tcW w:w="5093" w:type="dxa"/>
            <w:gridSpan w:val="2"/>
            <w:tcBorders>
              <w:top w:val="single" w:sz="8" w:space="0" w:color="auto"/>
              <w:left w:val="single" w:sz="8" w:space="0" w:color="auto"/>
              <w:bottom w:val="single" w:sz="4" w:space="0" w:color="auto"/>
              <w:right w:val="single" w:sz="4" w:space="0" w:color="auto"/>
            </w:tcBorders>
            <w:hideMark/>
          </w:tcPr>
          <w:p w14:paraId="68BA86CB" w14:textId="77777777" w:rsidR="008169A4" w:rsidRPr="00592DAE" w:rsidRDefault="008169A4" w:rsidP="00341CE7">
            <w:pPr>
              <w:rPr>
                <w:b/>
                <w:bCs/>
                <w:sz w:val="20"/>
                <w:szCs w:val="20"/>
                <w:lang w:val="sq-AL"/>
              </w:rPr>
            </w:pPr>
            <w:r w:rsidRPr="00592DAE">
              <w:rPr>
                <w:b/>
                <w:bCs/>
                <w:sz w:val="20"/>
                <w:szCs w:val="20"/>
                <w:lang w:val="sq-AL"/>
              </w:rPr>
              <w:t> </w:t>
            </w:r>
          </w:p>
        </w:tc>
        <w:tc>
          <w:tcPr>
            <w:tcW w:w="3261" w:type="dxa"/>
            <w:vMerge w:val="restart"/>
            <w:tcBorders>
              <w:top w:val="single" w:sz="8" w:space="0" w:color="auto"/>
              <w:left w:val="single" w:sz="4" w:space="0" w:color="auto"/>
              <w:bottom w:val="single" w:sz="4" w:space="0" w:color="auto"/>
              <w:right w:val="single" w:sz="4" w:space="0" w:color="auto"/>
            </w:tcBorders>
            <w:shd w:val="clear" w:color="auto" w:fill="B8DBF1" w:themeFill="accent3" w:themeFillTint="66"/>
            <w:vAlign w:val="center"/>
            <w:hideMark/>
          </w:tcPr>
          <w:p w14:paraId="56D1F8FB" w14:textId="77777777" w:rsidR="008169A4" w:rsidRPr="00592DAE" w:rsidRDefault="008169A4" w:rsidP="00341CE7">
            <w:pPr>
              <w:jc w:val="center"/>
              <w:rPr>
                <w:b/>
                <w:bCs/>
                <w:sz w:val="20"/>
                <w:szCs w:val="20"/>
                <w:lang w:val="sq-AL"/>
              </w:rPr>
            </w:pPr>
            <w:r w:rsidRPr="00592DAE">
              <w:rPr>
                <w:b/>
                <w:bCs/>
                <w:sz w:val="20"/>
                <w:szCs w:val="20"/>
                <w:lang w:val="sq-AL"/>
              </w:rPr>
              <w:t>Indikatori</w:t>
            </w:r>
          </w:p>
        </w:tc>
        <w:tc>
          <w:tcPr>
            <w:tcW w:w="2076" w:type="dxa"/>
            <w:gridSpan w:val="2"/>
            <w:tcBorders>
              <w:top w:val="single" w:sz="8" w:space="0" w:color="auto"/>
              <w:left w:val="nil"/>
              <w:bottom w:val="single" w:sz="4" w:space="0" w:color="auto"/>
              <w:right w:val="single" w:sz="4" w:space="0" w:color="auto"/>
            </w:tcBorders>
            <w:shd w:val="clear" w:color="auto" w:fill="B8DBF1" w:themeFill="accent3" w:themeFillTint="66"/>
            <w:vAlign w:val="center"/>
            <w:hideMark/>
          </w:tcPr>
          <w:p w14:paraId="504989DA" w14:textId="77777777" w:rsidR="008169A4" w:rsidRPr="00592DAE" w:rsidRDefault="008169A4" w:rsidP="00341CE7">
            <w:pPr>
              <w:rPr>
                <w:b/>
                <w:bCs/>
                <w:sz w:val="20"/>
                <w:szCs w:val="20"/>
                <w:lang w:val="sq-AL"/>
              </w:rPr>
            </w:pPr>
            <w:r w:rsidRPr="00592DAE">
              <w:rPr>
                <w:b/>
                <w:bCs/>
                <w:sz w:val="20"/>
                <w:szCs w:val="20"/>
                <w:lang w:val="sq-AL"/>
              </w:rPr>
              <w:t>Afati i zbatimit</w:t>
            </w:r>
          </w:p>
        </w:tc>
        <w:tc>
          <w:tcPr>
            <w:tcW w:w="1882" w:type="dxa"/>
            <w:vMerge w:val="restart"/>
            <w:tcBorders>
              <w:top w:val="single" w:sz="8" w:space="0" w:color="auto"/>
              <w:left w:val="single" w:sz="4" w:space="0" w:color="auto"/>
              <w:bottom w:val="single" w:sz="4" w:space="0" w:color="auto"/>
              <w:right w:val="single" w:sz="4" w:space="0" w:color="auto"/>
            </w:tcBorders>
            <w:shd w:val="clear" w:color="auto" w:fill="B8DBF1" w:themeFill="accent3" w:themeFillTint="66"/>
            <w:hideMark/>
          </w:tcPr>
          <w:p w14:paraId="303A53C7" w14:textId="77777777" w:rsidR="008169A4" w:rsidRDefault="008169A4" w:rsidP="00341CE7">
            <w:pPr>
              <w:jc w:val="center"/>
              <w:rPr>
                <w:sz w:val="20"/>
                <w:szCs w:val="20"/>
                <w:lang w:val="sq-AL"/>
              </w:rPr>
            </w:pPr>
          </w:p>
          <w:p w14:paraId="48ACBC21" w14:textId="77777777" w:rsidR="008169A4" w:rsidRDefault="008169A4" w:rsidP="00341CE7">
            <w:pPr>
              <w:jc w:val="center"/>
              <w:rPr>
                <w:sz w:val="20"/>
                <w:szCs w:val="20"/>
                <w:lang w:val="sq-AL"/>
              </w:rPr>
            </w:pPr>
          </w:p>
          <w:p w14:paraId="25BA18BA" w14:textId="77777777" w:rsidR="008169A4" w:rsidRDefault="008169A4" w:rsidP="00341CE7">
            <w:pPr>
              <w:jc w:val="center"/>
              <w:rPr>
                <w:sz w:val="20"/>
                <w:szCs w:val="20"/>
                <w:lang w:val="sq-AL"/>
              </w:rPr>
            </w:pPr>
          </w:p>
          <w:p w14:paraId="6F537022" w14:textId="77777777" w:rsidR="008169A4" w:rsidRDefault="008169A4" w:rsidP="00341CE7">
            <w:pPr>
              <w:jc w:val="center"/>
              <w:rPr>
                <w:sz w:val="20"/>
                <w:szCs w:val="20"/>
                <w:lang w:val="sq-AL"/>
              </w:rPr>
            </w:pPr>
          </w:p>
          <w:p w14:paraId="6F01BD03" w14:textId="77777777" w:rsidR="008169A4" w:rsidRDefault="008169A4" w:rsidP="00341CE7">
            <w:pPr>
              <w:jc w:val="center"/>
              <w:rPr>
                <w:sz w:val="20"/>
                <w:szCs w:val="20"/>
                <w:lang w:val="sq-AL"/>
              </w:rPr>
            </w:pPr>
          </w:p>
          <w:p w14:paraId="30BD1540" w14:textId="77777777" w:rsidR="008169A4" w:rsidRDefault="008169A4" w:rsidP="00341CE7">
            <w:pPr>
              <w:jc w:val="center"/>
              <w:rPr>
                <w:sz w:val="20"/>
                <w:szCs w:val="20"/>
                <w:lang w:val="sq-AL"/>
              </w:rPr>
            </w:pPr>
          </w:p>
          <w:p w14:paraId="60E50726" w14:textId="77777777" w:rsidR="008169A4" w:rsidRPr="00592DAE" w:rsidRDefault="008169A4" w:rsidP="00341CE7">
            <w:pPr>
              <w:jc w:val="center"/>
              <w:rPr>
                <w:b/>
                <w:bCs/>
                <w:sz w:val="20"/>
                <w:szCs w:val="20"/>
                <w:lang w:val="sq-AL"/>
              </w:rPr>
            </w:pPr>
            <w:r w:rsidRPr="00592DAE">
              <w:rPr>
                <w:b/>
                <w:bCs/>
                <w:sz w:val="20"/>
                <w:szCs w:val="20"/>
                <w:lang w:val="sq-AL"/>
              </w:rPr>
              <w:t>Burimi i financimit</w:t>
            </w:r>
          </w:p>
        </w:tc>
        <w:tc>
          <w:tcPr>
            <w:tcW w:w="2706" w:type="dxa"/>
            <w:gridSpan w:val="3"/>
            <w:tcBorders>
              <w:top w:val="single" w:sz="8" w:space="0" w:color="auto"/>
              <w:left w:val="nil"/>
              <w:bottom w:val="single" w:sz="4" w:space="0" w:color="auto"/>
              <w:right w:val="single" w:sz="8" w:space="0" w:color="000000"/>
            </w:tcBorders>
            <w:shd w:val="clear" w:color="auto" w:fill="B8DBF1" w:themeFill="accent3" w:themeFillTint="66"/>
            <w:vAlign w:val="center"/>
            <w:hideMark/>
          </w:tcPr>
          <w:p w14:paraId="4D5020E9" w14:textId="77777777" w:rsidR="008169A4" w:rsidRPr="00592DAE" w:rsidRDefault="008169A4" w:rsidP="00341CE7">
            <w:pPr>
              <w:rPr>
                <w:b/>
                <w:bCs/>
                <w:sz w:val="20"/>
                <w:szCs w:val="20"/>
                <w:lang w:val="sq-AL"/>
              </w:rPr>
            </w:pPr>
            <w:r w:rsidRPr="00592DAE">
              <w:rPr>
                <w:b/>
                <w:bCs/>
                <w:sz w:val="20"/>
                <w:szCs w:val="20"/>
                <w:lang w:val="sq-AL"/>
              </w:rPr>
              <w:t xml:space="preserve">Institucionet përgjegjëse </w:t>
            </w:r>
          </w:p>
        </w:tc>
      </w:tr>
      <w:tr w:rsidR="008169A4" w:rsidRPr="00592DAE" w14:paraId="5E22C85F" w14:textId="77777777" w:rsidTr="00341CE7">
        <w:trPr>
          <w:gridAfter w:val="2"/>
          <w:wAfter w:w="2918" w:type="dxa"/>
          <w:trHeight w:val="1035"/>
        </w:trPr>
        <w:tc>
          <w:tcPr>
            <w:tcW w:w="5093" w:type="dxa"/>
            <w:gridSpan w:val="2"/>
            <w:vMerge w:val="restart"/>
            <w:tcBorders>
              <w:top w:val="single" w:sz="4" w:space="0" w:color="auto"/>
              <w:left w:val="single" w:sz="8" w:space="0" w:color="auto"/>
              <w:bottom w:val="single" w:sz="4" w:space="0" w:color="auto"/>
              <w:right w:val="single" w:sz="4" w:space="0" w:color="auto"/>
            </w:tcBorders>
            <w:shd w:val="clear" w:color="auto" w:fill="B8DBF1" w:themeFill="accent3" w:themeFillTint="66"/>
            <w:hideMark/>
          </w:tcPr>
          <w:p w14:paraId="4C37D072" w14:textId="77777777" w:rsidR="008169A4" w:rsidRPr="00592DAE" w:rsidRDefault="008169A4" w:rsidP="00341CE7">
            <w:pPr>
              <w:rPr>
                <w:b/>
                <w:bCs/>
                <w:sz w:val="20"/>
                <w:szCs w:val="20"/>
                <w:lang w:val="sq-AL"/>
              </w:rPr>
            </w:pPr>
            <w:r w:rsidRPr="00592DAE">
              <w:rPr>
                <w:b/>
                <w:bCs/>
                <w:sz w:val="20"/>
                <w:szCs w:val="20"/>
                <w:lang w:val="sq-AL"/>
              </w:rPr>
              <w:t>Objektiva</w:t>
            </w:r>
          </w:p>
        </w:tc>
        <w:tc>
          <w:tcPr>
            <w:tcW w:w="3261" w:type="dxa"/>
            <w:vMerge/>
            <w:tcBorders>
              <w:top w:val="single" w:sz="8" w:space="0" w:color="auto"/>
              <w:left w:val="single" w:sz="4" w:space="0" w:color="auto"/>
              <w:bottom w:val="single" w:sz="4" w:space="0" w:color="auto"/>
              <w:right w:val="single" w:sz="4" w:space="0" w:color="auto"/>
            </w:tcBorders>
            <w:shd w:val="clear" w:color="auto" w:fill="B8DBF1" w:themeFill="accent3" w:themeFillTint="66"/>
            <w:vAlign w:val="center"/>
            <w:hideMark/>
          </w:tcPr>
          <w:p w14:paraId="1444809B" w14:textId="77777777" w:rsidR="008169A4" w:rsidRPr="00592DAE" w:rsidRDefault="008169A4" w:rsidP="00341CE7">
            <w:pPr>
              <w:rPr>
                <w:b/>
                <w:bCs/>
                <w:sz w:val="20"/>
                <w:szCs w:val="20"/>
                <w:lang w:val="sq-AL"/>
              </w:rPr>
            </w:pPr>
          </w:p>
        </w:tc>
        <w:tc>
          <w:tcPr>
            <w:tcW w:w="996" w:type="dxa"/>
            <w:vMerge w:val="restart"/>
            <w:tcBorders>
              <w:top w:val="nil"/>
              <w:left w:val="single" w:sz="4" w:space="0" w:color="auto"/>
              <w:bottom w:val="single" w:sz="4" w:space="0" w:color="auto"/>
              <w:right w:val="single" w:sz="4" w:space="0" w:color="auto"/>
            </w:tcBorders>
            <w:shd w:val="clear" w:color="auto" w:fill="B8DBF1" w:themeFill="accent3" w:themeFillTint="66"/>
            <w:vAlign w:val="center"/>
            <w:hideMark/>
          </w:tcPr>
          <w:p w14:paraId="23066FF6" w14:textId="77777777" w:rsidR="008169A4" w:rsidRPr="00592DAE" w:rsidRDefault="008169A4" w:rsidP="00341CE7">
            <w:pPr>
              <w:rPr>
                <w:b/>
                <w:bCs/>
                <w:sz w:val="20"/>
                <w:szCs w:val="20"/>
                <w:lang w:val="sq-AL"/>
              </w:rPr>
            </w:pPr>
            <w:r w:rsidRPr="00592DAE">
              <w:rPr>
                <w:b/>
                <w:bCs/>
                <w:sz w:val="20"/>
                <w:szCs w:val="20"/>
                <w:lang w:val="sq-AL"/>
              </w:rPr>
              <w:t>Afati i fillimit</w:t>
            </w:r>
          </w:p>
        </w:tc>
        <w:tc>
          <w:tcPr>
            <w:tcW w:w="1080" w:type="dxa"/>
            <w:vMerge w:val="restart"/>
            <w:tcBorders>
              <w:top w:val="nil"/>
              <w:left w:val="single" w:sz="4" w:space="0" w:color="auto"/>
              <w:bottom w:val="single" w:sz="4" w:space="0" w:color="auto"/>
              <w:right w:val="single" w:sz="4" w:space="0" w:color="auto"/>
            </w:tcBorders>
            <w:shd w:val="clear" w:color="auto" w:fill="B8DBF1" w:themeFill="accent3" w:themeFillTint="66"/>
            <w:vAlign w:val="center"/>
            <w:hideMark/>
          </w:tcPr>
          <w:p w14:paraId="4901E5F1" w14:textId="77777777" w:rsidR="008169A4" w:rsidRPr="00592DAE" w:rsidRDefault="008169A4" w:rsidP="00341CE7">
            <w:pPr>
              <w:rPr>
                <w:b/>
                <w:bCs/>
                <w:sz w:val="20"/>
                <w:szCs w:val="20"/>
                <w:lang w:val="sq-AL"/>
              </w:rPr>
            </w:pPr>
            <w:r w:rsidRPr="00592DAE">
              <w:rPr>
                <w:b/>
                <w:bCs/>
                <w:sz w:val="20"/>
                <w:szCs w:val="20"/>
                <w:lang w:val="sq-AL"/>
              </w:rPr>
              <w:t>Afati i mbarimit</w:t>
            </w:r>
          </w:p>
        </w:tc>
        <w:tc>
          <w:tcPr>
            <w:tcW w:w="1882" w:type="dxa"/>
            <w:vMerge/>
            <w:tcBorders>
              <w:top w:val="single" w:sz="8" w:space="0" w:color="auto"/>
              <w:left w:val="single" w:sz="4" w:space="0" w:color="auto"/>
              <w:bottom w:val="single" w:sz="4" w:space="0" w:color="auto"/>
              <w:right w:val="single" w:sz="4" w:space="0" w:color="auto"/>
            </w:tcBorders>
            <w:shd w:val="clear" w:color="auto" w:fill="B8DBF1" w:themeFill="accent3" w:themeFillTint="66"/>
            <w:vAlign w:val="center"/>
            <w:hideMark/>
          </w:tcPr>
          <w:p w14:paraId="68DF2384" w14:textId="77777777" w:rsidR="008169A4" w:rsidRPr="00592DAE" w:rsidRDefault="008169A4" w:rsidP="00341CE7">
            <w:pPr>
              <w:rPr>
                <w:sz w:val="20"/>
                <w:szCs w:val="20"/>
                <w:lang w:val="sq-AL"/>
              </w:rPr>
            </w:pPr>
          </w:p>
        </w:tc>
        <w:tc>
          <w:tcPr>
            <w:tcW w:w="1373" w:type="dxa"/>
            <w:gridSpan w:val="2"/>
            <w:vMerge w:val="restart"/>
            <w:tcBorders>
              <w:top w:val="nil"/>
              <w:left w:val="single" w:sz="4" w:space="0" w:color="auto"/>
              <w:bottom w:val="single" w:sz="4" w:space="0" w:color="auto"/>
              <w:right w:val="single" w:sz="4" w:space="0" w:color="auto"/>
            </w:tcBorders>
            <w:shd w:val="clear" w:color="auto" w:fill="B8DBF1" w:themeFill="accent3" w:themeFillTint="66"/>
            <w:hideMark/>
          </w:tcPr>
          <w:p w14:paraId="53627E68" w14:textId="77777777" w:rsidR="008169A4" w:rsidRPr="00592DAE" w:rsidRDefault="008169A4" w:rsidP="00341CE7">
            <w:pPr>
              <w:rPr>
                <w:sz w:val="20"/>
                <w:szCs w:val="20"/>
                <w:lang w:val="sq-AL"/>
              </w:rPr>
            </w:pPr>
            <w:r w:rsidRPr="00592DAE">
              <w:rPr>
                <w:sz w:val="20"/>
                <w:szCs w:val="20"/>
                <w:lang w:val="sq-AL"/>
              </w:rPr>
              <w:t>Drejtoria/sektori/departamenti (udhëheqës)</w:t>
            </w:r>
          </w:p>
        </w:tc>
        <w:tc>
          <w:tcPr>
            <w:tcW w:w="1333" w:type="dxa"/>
            <w:vMerge w:val="restart"/>
            <w:tcBorders>
              <w:top w:val="nil"/>
              <w:left w:val="single" w:sz="4" w:space="0" w:color="auto"/>
              <w:bottom w:val="single" w:sz="4" w:space="0" w:color="auto"/>
              <w:right w:val="single" w:sz="8" w:space="0" w:color="auto"/>
            </w:tcBorders>
            <w:shd w:val="clear" w:color="auto" w:fill="B8DBF1" w:themeFill="accent3" w:themeFillTint="66"/>
            <w:vAlign w:val="center"/>
            <w:hideMark/>
          </w:tcPr>
          <w:p w14:paraId="04983480" w14:textId="77777777" w:rsidR="008169A4" w:rsidRPr="00592DAE" w:rsidRDefault="008169A4" w:rsidP="00341CE7">
            <w:pPr>
              <w:rPr>
                <w:sz w:val="20"/>
                <w:szCs w:val="20"/>
                <w:lang w:val="sq-AL"/>
              </w:rPr>
            </w:pPr>
            <w:r w:rsidRPr="00592DAE">
              <w:rPr>
                <w:sz w:val="20"/>
                <w:szCs w:val="20"/>
                <w:lang w:val="sq-AL"/>
              </w:rPr>
              <w:t>Kosto</w:t>
            </w:r>
          </w:p>
        </w:tc>
      </w:tr>
      <w:tr w:rsidR="008169A4" w:rsidRPr="00592DAE" w14:paraId="6BBE0F50" w14:textId="77777777" w:rsidTr="00341CE7">
        <w:trPr>
          <w:gridAfter w:val="1"/>
          <w:wAfter w:w="169" w:type="dxa"/>
          <w:trHeight w:val="41"/>
        </w:trPr>
        <w:tc>
          <w:tcPr>
            <w:tcW w:w="5093" w:type="dxa"/>
            <w:gridSpan w:val="2"/>
            <w:vMerge/>
            <w:tcBorders>
              <w:top w:val="single" w:sz="4" w:space="0" w:color="auto"/>
              <w:left w:val="single" w:sz="8" w:space="0" w:color="auto"/>
              <w:bottom w:val="single" w:sz="4" w:space="0" w:color="auto"/>
              <w:right w:val="single" w:sz="4" w:space="0" w:color="auto"/>
            </w:tcBorders>
            <w:vAlign w:val="center"/>
            <w:hideMark/>
          </w:tcPr>
          <w:p w14:paraId="776DD55A" w14:textId="77777777" w:rsidR="008169A4" w:rsidRPr="00592DAE" w:rsidRDefault="008169A4" w:rsidP="00341CE7">
            <w:pPr>
              <w:rPr>
                <w:b/>
                <w:bCs/>
                <w:sz w:val="20"/>
                <w:szCs w:val="20"/>
                <w:lang w:val="sq-AL"/>
              </w:rPr>
            </w:pPr>
          </w:p>
        </w:tc>
        <w:tc>
          <w:tcPr>
            <w:tcW w:w="3261" w:type="dxa"/>
            <w:vMerge/>
            <w:tcBorders>
              <w:top w:val="single" w:sz="8" w:space="0" w:color="auto"/>
              <w:left w:val="single" w:sz="4" w:space="0" w:color="auto"/>
              <w:bottom w:val="single" w:sz="4" w:space="0" w:color="auto"/>
              <w:right w:val="single" w:sz="4" w:space="0" w:color="auto"/>
            </w:tcBorders>
            <w:vAlign w:val="center"/>
            <w:hideMark/>
          </w:tcPr>
          <w:p w14:paraId="4B9ECCAA" w14:textId="77777777" w:rsidR="008169A4" w:rsidRPr="00592DAE" w:rsidRDefault="008169A4" w:rsidP="00341CE7">
            <w:pPr>
              <w:rPr>
                <w:b/>
                <w:bCs/>
                <w:sz w:val="20"/>
                <w:szCs w:val="20"/>
                <w:lang w:val="sq-AL"/>
              </w:rPr>
            </w:pPr>
          </w:p>
        </w:tc>
        <w:tc>
          <w:tcPr>
            <w:tcW w:w="996" w:type="dxa"/>
            <w:vMerge/>
            <w:tcBorders>
              <w:top w:val="nil"/>
              <w:left w:val="single" w:sz="4" w:space="0" w:color="auto"/>
              <w:bottom w:val="single" w:sz="4" w:space="0" w:color="auto"/>
              <w:right w:val="single" w:sz="4" w:space="0" w:color="auto"/>
            </w:tcBorders>
            <w:vAlign w:val="center"/>
            <w:hideMark/>
          </w:tcPr>
          <w:p w14:paraId="261E700C" w14:textId="77777777" w:rsidR="008169A4" w:rsidRPr="00592DAE" w:rsidRDefault="008169A4" w:rsidP="00341CE7">
            <w:pPr>
              <w:rPr>
                <w:b/>
                <w:bCs/>
                <w:sz w:val="20"/>
                <w:szCs w:val="20"/>
                <w:lang w:val="sq-AL"/>
              </w:rPr>
            </w:pPr>
          </w:p>
        </w:tc>
        <w:tc>
          <w:tcPr>
            <w:tcW w:w="1080" w:type="dxa"/>
            <w:vMerge/>
            <w:tcBorders>
              <w:top w:val="nil"/>
              <w:left w:val="single" w:sz="4" w:space="0" w:color="auto"/>
              <w:bottom w:val="single" w:sz="4" w:space="0" w:color="auto"/>
              <w:right w:val="single" w:sz="4" w:space="0" w:color="auto"/>
            </w:tcBorders>
            <w:vAlign w:val="center"/>
            <w:hideMark/>
          </w:tcPr>
          <w:p w14:paraId="78BD517A" w14:textId="77777777" w:rsidR="008169A4" w:rsidRPr="00592DAE" w:rsidRDefault="008169A4" w:rsidP="00341CE7">
            <w:pPr>
              <w:rPr>
                <w:b/>
                <w:bCs/>
                <w:sz w:val="20"/>
                <w:szCs w:val="20"/>
                <w:lang w:val="sq-AL"/>
              </w:rPr>
            </w:pPr>
          </w:p>
        </w:tc>
        <w:tc>
          <w:tcPr>
            <w:tcW w:w="1882" w:type="dxa"/>
            <w:vMerge/>
            <w:tcBorders>
              <w:top w:val="single" w:sz="8" w:space="0" w:color="auto"/>
              <w:left w:val="single" w:sz="4" w:space="0" w:color="auto"/>
              <w:bottom w:val="single" w:sz="4" w:space="0" w:color="auto"/>
              <w:right w:val="single" w:sz="4" w:space="0" w:color="auto"/>
            </w:tcBorders>
            <w:vAlign w:val="center"/>
            <w:hideMark/>
          </w:tcPr>
          <w:p w14:paraId="11EB9C5A" w14:textId="77777777" w:rsidR="008169A4" w:rsidRPr="00592DAE" w:rsidRDefault="008169A4" w:rsidP="00341CE7">
            <w:pPr>
              <w:rPr>
                <w:sz w:val="20"/>
                <w:szCs w:val="20"/>
                <w:lang w:val="sq-AL"/>
              </w:rPr>
            </w:pPr>
          </w:p>
        </w:tc>
        <w:tc>
          <w:tcPr>
            <w:tcW w:w="1373" w:type="dxa"/>
            <w:gridSpan w:val="2"/>
            <w:vMerge/>
            <w:tcBorders>
              <w:top w:val="nil"/>
              <w:left w:val="single" w:sz="4" w:space="0" w:color="auto"/>
              <w:bottom w:val="single" w:sz="4" w:space="0" w:color="auto"/>
              <w:right w:val="single" w:sz="4" w:space="0" w:color="auto"/>
            </w:tcBorders>
            <w:vAlign w:val="center"/>
            <w:hideMark/>
          </w:tcPr>
          <w:p w14:paraId="16D9D2E2" w14:textId="77777777" w:rsidR="008169A4" w:rsidRPr="00592DAE" w:rsidRDefault="008169A4" w:rsidP="00341CE7">
            <w:pPr>
              <w:rPr>
                <w:sz w:val="20"/>
                <w:szCs w:val="20"/>
                <w:lang w:val="sq-AL"/>
              </w:rPr>
            </w:pPr>
          </w:p>
        </w:tc>
        <w:tc>
          <w:tcPr>
            <w:tcW w:w="1333" w:type="dxa"/>
            <w:vMerge/>
            <w:tcBorders>
              <w:top w:val="nil"/>
              <w:left w:val="single" w:sz="4" w:space="0" w:color="auto"/>
              <w:bottom w:val="single" w:sz="4" w:space="0" w:color="auto"/>
              <w:right w:val="single" w:sz="8" w:space="0" w:color="auto"/>
            </w:tcBorders>
            <w:vAlign w:val="center"/>
            <w:hideMark/>
          </w:tcPr>
          <w:p w14:paraId="3D7BE5B1" w14:textId="77777777" w:rsidR="008169A4" w:rsidRPr="00592DAE" w:rsidRDefault="008169A4" w:rsidP="00341CE7">
            <w:pPr>
              <w:rPr>
                <w:sz w:val="20"/>
                <w:szCs w:val="20"/>
                <w:lang w:val="sq-AL"/>
              </w:rPr>
            </w:pPr>
          </w:p>
        </w:tc>
        <w:tc>
          <w:tcPr>
            <w:tcW w:w="2749" w:type="dxa"/>
            <w:tcBorders>
              <w:top w:val="nil"/>
              <w:left w:val="nil"/>
              <w:bottom w:val="nil"/>
              <w:right w:val="nil"/>
            </w:tcBorders>
            <w:noWrap/>
            <w:vAlign w:val="bottom"/>
            <w:hideMark/>
          </w:tcPr>
          <w:p w14:paraId="55279CFA" w14:textId="77777777" w:rsidR="008169A4" w:rsidRPr="00592DAE" w:rsidRDefault="008169A4" w:rsidP="00341CE7">
            <w:pPr>
              <w:rPr>
                <w:sz w:val="20"/>
                <w:szCs w:val="20"/>
                <w:lang w:val="sq-AL"/>
              </w:rPr>
            </w:pPr>
          </w:p>
        </w:tc>
      </w:tr>
      <w:tr w:rsidR="008169A4" w:rsidRPr="00592DAE" w14:paraId="2E11F5F5" w14:textId="77777777" w:rsidTr="00341CE7">
        <w:trPr>
          <w:trHeight w:val="1890"/>
        </w:trPr>
        <w:tc>
          <w:tcPr>
            <w:tcW w:w="1518" w:type="dxa"/>
            <w:vMerge w:val="restart"/>
            <w:tcBorders>
              <w:top w:val="single" w:sz="8" w:space="0" w:color="auto"/>
              <w:left w:val="single" w:sz="8" w:space="0" w:color="auto"/>
              <w:bottom w:val="single" w:sz="8" w:space="0" w:color="000000"/>
              <w:right w:val="single" w:sz="4" w:space="0" w:color="auto"/>
            </w:tcBorders>
            <w:shd w:val="clear" w:color="auto" w:fill="F6DAE2" w:themeFill="accent6" w:themeFillTint="33"/>
          </w:tcPr>
          <w:p w14:paraId="755E70DC" w14:textId="77777777" w:rsidR="008169A4" w:rsidRPr="00592DAE" w:rsidRDefault="008169A4" w:rsidP="00341CE7">
            <w:pPr>
              <w:rPr>
                <w:sz w:val="20"/>
                <w:szCs w:val="20"/>
              </w:rPr>
            </w:pPr>
            <w:r w:rsidRPr="00592DAE">
              <w:rPr>
                <w:sz w:val="20"/>
                <w:szCs w:val="20"/>
              </w:rPr>
              <w:t>Promovimi i të drejtës për barazi të grave dhe burrave, të rejave dhe të rinjve, si dhe vajzave dhe djemve, si parakusht themelor për demokracinë dhe shoqërinë demokratike.</w:t>
            </w:r>
          </w:p>
          <w:p w14:paraId="431CB16A" w14:textId="77777777" w:rsidR="008169A4" w:rsidRPr="00592DAE" w:rsidRDefault="008169A4" w:rsidP="00341CE7">
            <w:pPr>
              <w:rPr>
                <w:sz w:val="20"/>
                <w:szCs w:val="20"/>
              </w:rPr>
            </w:pPr>
          </w:p>
          <w:p w14:paraId="3ECF1556" w14:textId="06BA438E" w:rsidR="008169A4" w:rsidRPr="00592DAE" w:rsidRDefault="008169A4" w:rsidP="00341CE7">
            <w:pPr>
              <w:rPr>
                <w:sz w:val="20"/>
                <w:szCs w:val="20"/>
              </w:rPr>
            </w:pPr>
            <w:r w:rsidRPr="00592DAE">
              <w:rPr>
                <w:sz w:val="20"/>
                <w:szCs w:val="20"/>
              </w:rPr>
              <w:t xml:space="preserve"> Promovimi i parimit të barazisë ndërmjet grave dhe burrave, si dhe të rejave dhe të rinjve, në </w:t>
            </w:r>
            <w:r w:rsidRPr="00592DAE">
              <w:rPr>
                <w:sz w:val="20"/>
                <w:szCs w:val="20"/>
              </w:rPr>
              <w:lastRenderedPageBreak/>
              <w:t xml:space="preserve">jetën politike e publike, përmes përmbushjes së angazhimeve publike për barazinë gjinore, të ndërmarra nga Bashkia </w:t>
            </w:r>
            <w:r w:rsidR="002E16B0">
              <w:rPr>
                <w:sz w:val="20"/>
                <w:szCs w:val="20"/>
              </w:rPr>
              <w:t>Puke</w:t>
            </w:r>
            <w:r w:rsidRPr="00592DAE">
              <w:rPr>
                <w:sz w:val="20"/>
                <w:szCs w:val="20"/>
              </w:rPr>
              <w:t>.</w:t>
            </w:r>
          </w:p>
          <w:p w14:paraId="29725850" w14:textId="77777777" w:rsidR="008169A4" w:rsidRPr="00592DAE" w:rsidRDefault="008169A4" w:rsidP="00341CE7">
            <w:pPr>
              <w:rPr>
                <w:sz w:val="20"/>
                <w:szCs w:val="20"/>
              </w:rPr>
            </w:pPr>
          </w:p>
          <w:p w14:paraId="22B2C743" w14:textId="77777777" w:rsidR="008169A4" w:rsidRPr="00592DAE" w:rsidRDefault="008169A4" w:rsidP="00341CE7">
            <w:pPr>
              <w:rPr>
                <w:sz w:val="20"/>
                <w:szCs w:val="20"/>
              </w:rPr>
            </w:pPr>
          </w:p>
          <w:p w14:paraId="3F9312C8" w14:textId="77777777" w:rsidR="008169A4" w:rsidRPr="00592DAE" w:rsidRDefault="008169A4" w:rsidP="00341CE7">
            <w:pPr>
              <w:rPr>
                <w:b/>
                <w:bCs/>
                <w:i/>
                <w:iCs/>
                <w:sz w:val="20"/>
                <w:szCs w:val="20"/>
                <w:lang w:val="sq-AL"/>
              </w:rPr>
            </w:pPr>
            <w:r w:rsidRPr="00592DAE">
              <w:rPr>
                <w:sz w:val="20"/>
                <w:szCs w:val="20"/>
              </w:rPr>
              <w:t>Reduktimi i steriotipeve dhe pabarazive gjinore, përmes promovimit të parimit të barazisë ndërmjet grave dhe burrave, të rejave dhe të rinjve, si dhe vajzave dhe djemve, në aksesin dhe cilësinë e shërbimeve të ofruara</w:t>
            </w:r>
          </w:p>
        </w:tc>
        <w:tc>
          <w:tcPr>
            <w:tcW w:w="3575" w:type="dxa"/>
            <w:tcBorders>
              <w:top w:val="single" w:sz="8" w:space="0" w:color="auto"/>
              <w:left w:val="nil"/>
              <w:bottom w:val="single" w:sz="4" w:space="0" w:color="auto"/>
              <w:right w:val="single" w:sz="4" w:space="0" w:color="auto"/>
            </w:tcBorders>
          </w:tcPr>
          <w:p w14:paraId="08445A67" w14:textId="26848A64" w:rsidR="008169A4" w:rsidRPr="00592DAE" w:rsidRDefault="008169A4" w:rsidP="00341CE7">
            <w:pPr>
              <w:rPr>
                <w:sz w:val="20"/>
                <w:szCs w:val="20"/>
                <w:lang w:val="sq-AL"/>
              </w:rPr>
            </w:pPr>
            <w:r w:rsidRPr="00592DAE">
              <w:rPr>
                <w:sz w:val="20"/>
                <w:szCs w:val="20"/>
              </w:rPr>
              <w:lastRenderedPageBreak/>
              <w:t xml:space="preserve">1.1 Të rritet pjesëmarrja e grave dhe të rejave në të gjitha takimet dhe dëgjesat publike të organizuara nga Bashkia/Donatore </w:t>
            </w:r>
            <w:r w:rsidR="00A938F1">
              <w:rPr>
                <w:sz w:val="20"/>
                <w:szCs w:val="20"/>
              </w:rPr>
              <w:t>Puke</w:t>
            </w:r>
            <w:r w:rsidRPr="00592DAE">
              <w:rPr>
                <w:sz w:val="20"/>
                <w:szCs w:val="20"/>
              </w:rPr>
              <w:t>.</w:t>
            </w:r>
          </w:p>
        </w:tc>
        <w:tc>
          <w:tcPr>
            <w:tcW w:w="3261" w:type="dxa"/>
            <w:tcBorders>
              <w:top w:val="single" w:sz="8" w:space="0" w:color="auto"/>
              <w:left w:val="nil"/>
              <w:bottom w:val="single" w:sz="4" w:space="0" w:color="auto"/>
              <w:right w:val="single" w:sz="4" w:space="0" w:color="auto"/>
            </w:tcBorders>
          </w:tcPr>
          <w:p w14:paraId="414CC96E" w14:textId="77777777" w:rsidR="008169A4" w:rsidRPr="00592DAE" w:rsidRDefault="008169A4" w:rsidP="00341CE7">
            <w:pPr>
              <w:rPr>
                <w:sz w:val="20"/>
                <w:szCs w:val="20"/>
                <w:lang w:val="sq-AL"/>
              </w:rPr>
            </w:pPr>
            <w:r w:rsidRPr="00592DAE">
              <w:rPr>
                <w:sz w:val="20"/>
                <w:szCs w:val="20"/>
              </w:rPr>
              <w:t>- % e pjesëmarrjes së grave në takime publike</w:t>
            </w:r>
          </w:p>
        </w:tc>
        <w:tc>
          <w:tcPr>
            <w:tcW w:w="996" w:type="dxa"/>
            <w:tcBorders>
              <w:top w:val="single" w:sz="8" w:space="0" w:color="auto"/>
              <w:left w:val="nil"/>
              <w:bottom w:val="single" w:sz="4" w:space="0" w:color="auto"/>
              <w:right w:val="single" w:sz="4" w:space="0" w:color="auto"/>
            </w:tcBorders>
            <w:vAlign w:val="center"/>
          </w:tcPr>
          <w:p w14:paraId="39D85AA7" w14:textId="77777777" w:rsidR="008169A4" w:rsidRPr="00592DAE" w:rsidRDefault="008169A4" w:rsidP="00341CE7">
            <w:pPr>
              <w:jc w:val="right"/>
              <w:rPr>
                <w:sz w:val="20"/>
                <w:szCs w:val="20"/>
                <w:lang w:val="sq-AL"/>
              </w:rPr>
            </w:pPr>
            <w:r w:rsidRPr="00592DAE">
              <w:rPr>
                <w:sz w:val="20"/>
                <w:szCs w:val="20"/>
                <w:lang w:val="sq-AL"/>
              </w:rPr>
              <w:t>2026</w:t>
            </w:r>
          </w:p>
        </w:tc>
        <w:tc>
          <w:tcPr>
            <w:tcW w:w="1080" w:type="dxa"/>
            <w:tcBorders>
              <w:top w:val="single" w:sz="8" w:space="0" w:color="auto"/>
              <w:left w:val="nil"/>
              <w:bottom w:val="single" w:sz="4" w:space="0" w:color="auto"/>
              <w:right w:val="single" w:sz="4" w:space="0" w:color="auto"/>
            </w:tcBorders>
            <w:vAlign w:val="center"/>
          </w:tcPr>
          <w:p w14:paraId="3C1A7C67" w14:textId="77777777" w:rsidR="008169A4" w:rsidRPr="00592DAE" w:rsidRDefault="008169A4" w:rsidP="00341CE7">
            <w:pPr>
              <w:jc w:val="right"/>
              <w:rPr>
                <w:sz w:val="20"/>
                <w:szCs w:val="20"/>
                <w:lang w:val="sq-AL"/>
              </w:rPr>
            </w:pPr>
            <w:r w:rsidRPr="00592DAE">
              <w:rPr>
                <w:sz w:val="20"/>
                <w:szCs w:val="20"/>
                <w:lang w:val="sq-AL"/>
              </w:rPr>
              <w:t>2030</w:t>
            </w:r>
          </w:p>
        </w:tc>
        <w:tc>
          <w:tcPr>
            <w:tcW w:w="1882" w:type="dxa"/>
            <w:tcBorders>
              <w:top w:val="single" w:sz="8" w:space="0" w:color="auto"/>
              <w:left w:val="nil"/>
              <w:bottom w:val="single" w:sz="4" w:space="0" w:color="auto"/>
              <w:right w:val="single" w:sz="4" w:space="0" w:color="auto"/>
            </w:tcBorders>
          </w:tcPr>
          <w:p w14:paraId="5F235D0C" w14:textId="77777777" w:rsidR="008169A4" w:rsidRPr="00592DAE" w:rsidRDefault="008169A4" w:rsidP="00341CE7">
            <w:pPr>
              <w:rPr>
                <w:sz w:val="20"/>
                <w:szCs w:val="20"/>
                <w:lang w:val="sq-AL"/>
              </w:rPr>
            </w:pPr>
            <w:r w:rsidRPr="00592DAE">
              <w:rPr>
                <w:sz w:val="20"/>
                <w:szCs w:val="20"/>
                <w:lang w:val="sq-AL"/>
              </w:rPr>
              <w:t>Bashkia/Donatore</w:t>
            </w:r>
          </w:p>
        </w:tc>
        <w:tc>
          <w:tcPr>
            <w:tcW w:w="1358" w:type="dxa"/>
            <w:tcBorders>
              <w:top w:val="single" w:sz="8" w:space="0" w:color="auto"/>
              <w:left w:val="nil"/>
              <w:bottom w:val="single" w:sz="4" w:space="0" w:color="auto"/>
              <w:right w:val="single" w:sz="4" w:space="0" w:color="auto"/>
            </w:tcBorders>
          </w:tcPr>
          <w:p w14:paraId="6AB58932" w14:textId="77777777" w:rsidR="008169A4" w:rsidRPr="00592DAE" w:rsidRDefault="008169A4" w:rsidP="00341CE7">
            <w:pPr>
              <w:rPr>
                <w:sz w:val="20"/>
                <w:szCs w:val="20"/>
                <w:lang w:val="sq-AL"/>
              </w:rPr>
            </w:pPr>
            <w:r w:rsidRPr="00592DAE">
              <w:rPr>
                <w:sz w:val="20"/>
                <w:szCs w:val="20"/>
                <w:lang w:val="sq-AL"/>
              </w:rPr>
              <w:t>Sektori i NE</w:t>
            </w:r>
          </w:p>
        </w:tc>
        <w:tc>
          <w:tcPr>
            <w:tcW w:w="1348" w:type="dxa"/>
            <w:gridSpan w:val="2"/>
            <w:tcBorders>
              <w:top w:val="single" w:sz="8" w:space="0" w:color="auto"/>
              <w:left w:val="nil"/>
              <w:bottom w:val="single" w:sz="4" w:space="0" w:color="auto"/>
              <w:right w:val="single" w:sz="8" w:space="0" w:color="auto"/>
            </w:tcBorders>
          </w:tcPr>
          <w:p w14:paraId="515D3C53" w14:textId="68CFA322" w:rsidR="008169A4" w:rsidRPr="00592DAE" w:rsidRDefault="00A938F1" w:rsidP="00341CE7">
            <w:pPr>
              <w:rPr>
                <w:sz w:val="20"/>
                <w:szCs w:val="20"/>
                <w:lang w:val="sq-AL"/>
              </w:rPr>
            </w:pPr>
            <w:r>
              <w:rPr>
                <w:sz w:val="20"/>
                <w:szCs w:val="20"/>
              </w:rPr>
              <w:t>6</w:t>
            </w:r>
            <w:r w:rsidR="008169A4" w:rsidRPr="00592DAE">
              <w:rPr>
                <w:sz w:val="20"/>
                <w:szCs w:val="20"/>
              </w:rPr>
              <w:t>00,000 lekë</w:t>
            </w:r>
          </w:p>
        </w:tc>
        <w:tc>
          <w:tcPr>
            <w:tcW w:w="2918" w:type="dxa"/>
            <w:gridSpan w:val="2"/>
            <w:vAlign w:val="center"/>
            <w:hideMark/>
          </w:tcPr>
          <w:p w14:paraId="00E00AFB" w14:textId="77777777" w:rsidR="008169A4" w:rsidRPr="00592DAE" w:rsidRDefault="008169A4" w:rsidP="00341CE7">
            <w:pPr>
              <w:rPr>
                <w:sz w:val="20"/>
                <w:szCs w:val="20"/>
                <w:lang w:val="sq-AL"/>
              </w:rPr>
            </w:pPr>
          </w:p>
        </w:tc>
      </w:tr>
      <w:tr w:rsidR="008169A4" w:rsidRPr="00592DAE" w14:paraId="5ADAE6C8" w14:textId="77777777" w:rsidTr="00341CE7">
        <w:trPr>
          <w:trHeight w:val="3060"/>
        </w:trPr>
        <w:tc>
          <w:tcPr>
            <w:tcW w:w="1518" w:type="dxa"/>
            <w:vMerge/>
            <w:tcBorders>
              <w:top w:val="single" w:sz="8" w:space="0" w:color="auto"/>
              <w:left w:val="single" w:sz="8" w:space="0" w:color="auto"/>
              <w:bottom w:val="single" w:sz="8" w:space="0" w:color="000000"/>
              <w:right w:val="single" w:sz="4" w:space="0" w:color="auto"/>
            </w:tcBorders>
            <w:shd w:val="clear" w:color="auto" w:fill="F6DAE2" w:themeFill="accent6" w:themeFillTint="33"/>
            <w:vAlign w:val="center"/>
          </w:tcPr>
          <w:p w14:paraId="02158962" w14:textId="77777777" w:rsidR="008169A4" w:rsidRPr="00592DAE" w:rsidRDefault="008169A4" w:rsidP="00341CE7">
            <w:pPr>
              <w:rPr>
                <w:b/>
                <w:bCs/>
                <w:i/>
                <w:iCs/>
                <w:sz w:val="20"/>
                <w:szCs w:val="20"/>
                <w:lang w:val="sq-AL"/>
              </w:rPr>
            </w:pPr>
          </w:p>
        </w:tc>
        <w:tc>
          <w:tcPr>
            <w:tcW w:w="3575" w:type="dxa"/>
            <w:tcBorders>
              <w:top w:val="nil"/>
              <w:left w:val="nil"/>
              <w:bottom w:val="single" w:sz="4" w:space="0" w:color="auto"/>
              <w:right w:val="single" w:sz="4" w:space="0" w:color="auto"/>
            </w:tcBorders>
          </w:tcPr>
          <w:p w14:paraId="0F441742" w14:textId="77777777" w:rsidR="008169A4" w:rsidRPr="00592DAE" w:rsidRDefault="008169A4" w:rsidP="00341CE7">
            <w:pPr>
              <w:rPr>
                <w:sz w:val="20"/>
                <w:szCs w:val="20"/>
                <w:lang w:val="sq-AL"/>
              </w:rPr>
            </w:pPr>
            <w:r w:rsidRPr="00592DAE">
              <w:rPr>
                <w:sz w:val="20"/>
                <w:szCs w:val="20"/>
              </w:rPr>
              <w:t>1.2 Të fuqizohet mekanizmi institucional vendor për arritjen e barazisë gjinore.</w:t>
            </w:r>
          </w:p>
        </w:tc>
        <w:tc>
          <w:tcPr>
            <w:tcW w:w="3261" w:type="dxa"/>
            <w:tcBorders>
              <w:top w:val="nil"/>
              <w:left w:val="nil"/>
              <w:bottom w:val="single" w:sz="4" w:space="0" w:color="auto"/>
              <w:right w:val="single" w:sz="4" w:space="0" w:color="auto"/>
            </w:tcBorders>
          </w:tcPr>
          <w:p w14:paraId="423D05F9" w14:textId="77777777" w:rsidR="008169A4" w:rsidRPr="00592DAE" w:rsidRDefault="008169A4" w:rsidP="00341CE7">
            <w:pPr>
              <w:rPr>
                <w:sz w:val="20"/>
                <w:szCs w:val="20"/>
              </w:rPr>
            </w:pPr>
            <w:r w:rsidRPr="00592DAE">
              <w:rPr>
                <w:sz w:val="20"/>
                <w:szCs w:val="20"/>
              </w:rPr>
              <w:t>Nr. i grave të ftuara dhe të regjistruara në dëgjesa</w:t>
            </w:r>
          </w:p>
          <w:p w14:paraId="3A1B0320" w14:textId="77777777" w:rsidR="008169A4" w:rsidRPr="00592DAE" w:rsidRDefault="008169A4" w:rsidP="00341CE7">
            <w:pPr>
              <w:rPr>
                <w:sz w:val="20"/>
                <w:szCs w:val="20"/>
              </w:rPr>
            </w:pPr>
          </w:p>
          <w:p w14:paraId="3953C6BB" w14:textId="77777777" w:rsidR="008169A4" w:rsidRPr="00592DAE" w:rsidRDefault="008169A4" w:rsidP="00341CE7">
            <w:pPr>
              <w:rPr>
                <w:sz w:val="20"/>
                <w:szCs w:val="20"/>
                <w:lang w:val="sq-AL"/>
              </w:rPr>
            </w:pPr>
            <w:r w:rsidRPr="00592DAE">
              <w:rPr>
                <w:sz w:val="20"/>
                <w:szCs w:val="20"/>
              </w:rPr>
              <w:t>Nr. i trajnimeve mbi barazinë gjinore</w:t>
            </w:r>
          </w:p>
        </w:tc>
        <w:tc>
          <w:tcPr>
            <w:tcW w:w="996" w:type="dxa"/>
            <w:tcBorders>
              <w:top w:val="nil"/>
              <w:left w:val="nil"/>
              <w:bottom w:val="single" w:sz="4" w:space="0" w:color="auto"/>
              <w:right w:val="single" w:sz="4" w:space="0" w:color="auto"/>
            </w:tcBorders>
            <w:vAlign w:val="center"/>
          </w:tcPr>
          <w:p w14:paraId="5DFBC12F" w14:textId="77777777" w:rsidR="008169A4" w:rsidRPr="00592DAE" w:rsidRDefault="008169A4" w:rsidP="00341CE7">
            <w:pPr>
              <w:jc w:val="right"/>
              <w:rPr>
                <w:sz w:val="20"/>
                <w:szCs w:val="20"/>
                <w:lang w:val="sq-AL"/>
              </w:rPr>
            </w:pPr>
            <w:r w:rsidRPr="00592DAE">
              <w:rPr>
                <w:sz w:val="20"/>
                <w:szCs w:val="20"/>
                <w:lang w:val="sq-AL"/>
              </w:rPr>
              <w:t>2026</w:t>
            </w:r>
          </w:p>
        </w:tc>
        <w:tc>
          <w:tcPr>
            <w:tcW w:w="1080" w:type="dxa"/>
            <w:tcBorders>
              <w:top w:val="nil"/>
              <w:left w:val="nil"/>
              <w:bottom w:val="single" w:sz="4" w:space="0" w:color="auto"/>
              <w:right w:val="single" w:sz="4" w:space="0" w:color="auto"/>
            </w:tcBorders>
            <w:vAlign w:val="center"/>
          </w:tcPr>
          <w:p w14:paraId="1E2F0C55" w14:textId="77777777" w:rsidR="008169A4" w:rsidRPr="00592DAE" w:rsidRDefault="008169A4" w:rsidP="00341CE7">
            <w:pPr>
              <w:jc w:val="right"/>
              <w:rPr>
                <w:sz w:val="20"/>
                <w:szCs w:val="20"/>
                <w:lang w:val="sq-AL"/>
              </w:rPr>
            </w:pPr>
            <w:r w:rsidRPr="00592DAE">
              <w:rPr>
                <w:sz w:val="20"/>
                <w:szCs w:val="20"/>
                <w:lang w:val="sq-AL"/>
              </w:rPr>
              <w:t>2030</w:t>
            </w:r>
          </w:p>
        </w:tc>
        <w:tc>
          <w:tcPr>
            <w:tcW w:w="1882" w:type="dxa"/>
            <w:tcBorders>
              <w:top w:val="nil"/>
              <w:left w:val="nil"/>
              <w:bottom w:val="single" w:sz="4" w:space="0" w:color="auto"/>
              <w:right w:val="single" w:sz="4" w:space="0" w:color="auto"/>
            </w:tcBorders>
          </w:tcPr>
          <w:p w14:paraId="0DF8CDB5" w14:textId="77777777" w:rsidR="008169A4" w:rsidRPr="00592DAE" w:rsidRDefault="008169A4" w:rsidP="00341CE7">
            <w:pPr>
              <w:rPr>
                <w:sz w:val="20"/>
                <w:szCs w:val="20"/>
                <w:lang w:val="sq-AL"/>
              </w:rPr>
            </w:pPr>
          </w:p>
        </w:tc>
        <w:tc>
          <w:tcPr>
            <w:tcW w:w="1358" w:type="dxa"/>
            <w:tcBorders>
              <w:top w:val="nil"/>
              <w:left w:val="nil"/>
              <w:bottom w:val="single" w:sz="4" w:space="0" w:color="auto"/>
              <w:right w:val="single" w:sz="4" w:space="0" w:color="auto"/>
            </w:tcBorders>
          </w:tcPr>
          <w:p w14:paraId="1CF84E68" w14:textId="77777777" w:rsidR="008169A4" w:rsidRPr="00592DAE" w:rsidRDefault="008169A4" w:rsidP="00341CE7">
            <w:pPr>
              <w:rPr>
                <w:sz w:val="20"/>
                <w:szCs w:val="20"/>
                <w:lang w:val="sq-AL"/>
              </w:rPr>
            </w:pPr>
            <w:r w:rsidRPr="00592DAE">
              <w:rPr>
                <w:sz w:val="20"/>
                <w:szCs w:val="20"/>
                <w:lang w:val="sq-AL"/>
              </w:rPr>
              <w:t>Sektori i NE</w:t>
            </w:r>
          </w:p>
        </w:tc>
        <w:tc>
          <w:tcPr>
            <w:tcW w:w="1348" w:type="dxa"/>
            <w:gridSpan w:val="2"/>
            <w:tcBorders>
              <w:top w:val="nil"/>
              <w:left w:val="nil"/>
              <w:bottom w:val="single" w:sz="4" w:space="0" w:color="auto"/>
              <w:right w:val="single" w:sz="8" w:space="0" w:color="auto"/>
            </w:tcBorders>
          </w:tcPr>
          <w:p w14:paraId="7CE4A15A" w14:textId="2116F576" w:rsidR="008169A4" w:rsidRPr="00592DAE" w:rsidRDefault="008C3528" w:rsidP="00341CE7">
            <w:pPr>
              <w:rPr>
                <w:sz w:val="20"/>
                <w:szCs w:val="20"/>
                <w:lang w:val="sq-AL"/>
              </w:rPr>
            </w:pPr>
            <w:r>
              <w:rPr>
                <w:sz w:val="20"/>
                <w:szCs w:val="20"/>
              </w:rPr>
              <w:t>1</w:t>
            </w:r>
            <w:r w:rsidR="008169A4" w:rsidRPr="00592DAE">
              <w:rPr>
                <w:sz w:val="20"/>
                <w:szCs w:val="20"/>
              </w:rPr>
              <w:t>,</w:t>
            </w:r>
            <w:r w:rsidR="00AF4E71">
              <w:rPr>
                <w:sz w:val="20"/>
                <w:szCs w:val="20"/>
              </w:rPr>
              <w:t>0</w:t>
            </w:r>
            <w:r w:rsidR="008169A4" w:rsidRPr="00592DAE">
              <w:rPr>
                <w:sz w:val="20"/>
                <w:szCs w:val="20"/>
              </w:rPr>
              <w:t>00,000 lekë</w:t>
            </w:r>
          </w:p>
        </w:tc>
        <w:tc>
          <w:tcPr>
            <w:tcW w:w="2918" w:type="dxa"/>
            <w:gridSpan w:val="2"/>
            <w:vAlign w:val="center"/>
            <w:hideMark/>
          </w:tcPr>
          <w:p w14:paraId="6A0EF506" w14:textId="77777777" w:rsidR="008169A4" w:rsidRPr="00592DAE" w:rsidRDefault="008169A4" w:rsidP="00341CE7">
            <w:pPr>
              <w:rPr>
                <w:sz w:val="20"/>
                <w:szCs w:val="20"/>
                <w:lang w:val="sq-AL"/>
              </w:rPr>
            </w:pPr>
          </w:p>
        </w:tc>
      </w:tr>
      <w:tr w:rsidR="008169A4" w:rsidRPr="00592DAE" w14:paraId="49D865CA" w14:textId="77777777" w:rsidTr="00341CE7">
        <w:trPr>
          <w:trHeight w:val="1360"/>
        </w:trPr>
        <w:tc>
          <w:tcPr>
            <w:tcW w:w="1518" w:type="dxa"/>
            <w:vMerge/>
            <w:tcBorders>
              <w:top w:val="single" w:sz="8" w:space="0" w:color="auto"/>
              <w:left w:val="single" w:sz="8" w:space="0" w:color="auto"/>
              <w:bottom w:val="single" w:sz="8" w:space="0" w:color="000000"/>
              <w:right w:val="single" w:sz="4" w:space="0" w:color="auto"/>
            </w:tcBorders>
            <w:shd w:val="clear" w:color="auto" w:fill="F6DAE2" w:themeFill="accent6" w:themeFillTint="33"/>
            <w:vAlign w:val="center"/>
          </w:tcPr>
          <w:p w14:paraId="1AD46D50" w14:textId="77777777" w:rsidR="008169A4" w:rsidRPr="00592DAE" w:rsidRDefault="008169A4" w:rsidP="00341CE7">
            <w:pPr>
              <w:rPr>
                <w:b/>
                <w:bCs/>
                <w:i/>
                <w:iCs/>
                <w:sz w:val="20"/>
                <w:szCs w:val="20"/>
                <w:lang w:val="sq-AL"/>
              </w:rPr>
            </w:pPr>
          </w:p>
        </w:tc>
        <w:tc>
          <w:tcPr>
            <w:tcW w:w="3575" w:type="dxa"/>
            <w:tcBorders>
              <w:top w:val="nil"/>
              <w:left w:val="nil"/>
              <w:bottom w:val="single" w:sz="4" w:space="0" w:color="auto"/>
              <w:right w:val="single" w:sz="4" w:space="0" w:color="auto"/>
            </w:tcBorders>
          </w:tcPr>
          <w:p w14:paraId="627243B1" w14:textId="77777777" w:rsidR="008169A4" w:rsidRPr="00592DAE" w:rsidRDefault="008169A4" w:rsidP="00341CE7">
            <w:pPr>
              <w:rPr>
                <w:sz w:val="20"/>
                <w:szCs w:val="20"/>
                <w:lang w:val="sq-AL"/>
              </w:rPr>
            </w:pPr>
            <w:r w:rsidRPr="00592DAE">
              <w:rPr>
                <w:sz w:val="20"/>
                <w:szCs w:val="20"/>
              </w:rPr>
              <w:t>2.1 Të rritet pjesëmarrja e grave dhe të rejave të zonave rurale dhe me aftësi të kufizuara në zgjedhje.</w:t>
            </w:r>
          </w:p>
        </w:tc>
        <w:tc>
          <w:tcPr>
            <w:tcW w:w="3261" w:type="dxa"/>
            <w:tcBorders>
              <w:top w:val="nil"/>
              <w:left w:val="nil"/>
              <w:bottom w:val="single" w:sz="4" w:space="0" w:color="auto"/>
              <w:right w:val="single" w:sz="4" w:space="0" w:color="auto"/>
            </w:tcBorders>
          </w:tcPr>
          <w:p w14:paraId="549BCEE4" w14:textId="77777777" w:rsidR="008169A4" w:rsidRPr="00592DAE" w:rsidRDefault="008169A4" w:rsidP="00341CE7">
            <w:pPr>
              <w:rPr>
                <w:sz w:val="20"/>
                <w:szCs w:val="20"/>
              </w:rPr>
            </w:pPr>
            <w:r w:rsidRPr="00592DAE">
              <w:rPr>
                <w:sz w:val="20"/>
                <w:szCs w:val="20"/>
              </w:rPr>
              <w:t>- % e pjesëmarrjes në votime nga gratë në zonat rurale</w:t>
            </w:r>
          </w:p>
          <w:p w14:paraId="785CE8C0" w14:textId="77777777" w:rsidR="008169A4" w:rsidRPr="00592DAE" w:rsidRDefault="008169A4" w:rsidP="00341CE7">
            <w:pPr>
              <w:rPr>
                <w:sz w:val="20"/>
                <w:szCs w:val="20"/>
                <w:lang w:val="sq-AL"/>
              </w:rPr>
            </w:pPr>
            <w:r w:rsidRPr="00592DAE">
              <w:rPr>
                <w:sz w:val="20"/>
                <w:szCs w:val="20"/>
              </w:rPr>
              <w:t>- Nr. i materialeve ndërgjegjësuese të shpërndara</w:t>
            </w:r>
          </w:p>
        </w:tc>
        <w:tc>
          <w:tcPr>
            <w:tcW w:w="996" w:type="dxa"/>
            <w:tcBorders>
              <w:top w:val="nil"/>
              <w:left w:val="nil"/>
              <w:bottom w:val="single" w:sz="4" w:space="0" w:color="auto"/>
              <w:right w:val="single" w:sz="4" w:space="0" w:color="auto"/>
            </w:tcBorders>
            <w:vAlign w:val="center"/>
          </w:tcPr>
          <w:p w14:paraId="1F5A0B7B" w14:textId="77777777" w:rsidR="008169A4" w:rsidRPr="00592DAE" w:rsidRDefault="008169A4" w:rsidP="00341CE7">
            <w:pPr>
              <w:jc w:val="right"/>
              <w:rPr>
                <w:sz w:val="20"/>
                <w:szCs w:val="20"/>
                <w:lang w:val="sq-AL"/>
              </w:rPr>
            </w:pPr>
            <w:r w:rsidRPr="00592DAE">
              <w:rPr>
                <w:sz w:val="20"/>
                <w:szCs w:val="20"/>
                <w:lang w:val="sq-AL"/>
              </w:rPr>
              <w:t>2026</w:t>
            </w:r>
          </w:p>
        </w:tc>
        <w:tc>
          <w:tcPr>
            <w:tcW w:w="1080" w:type="dxa"/>
            <w:tcBorders>
              <w:top w:val="nil"/>
              <w:left w:val="nil"/>
              <w:bottom w:val="single" w:sz="4" w:space="0" w:color="auto"/>
              <w:right w:val="single" w:sz="4" w:space="0" w:color="auto"/>
            </w:tcBorders>
            <w:vAlign w:val="center"/>
          </w:tcPr>
          <w:p w14:paraId="5C773FBB" w14:textId="77777777" w:rsidR="008169A4" w:rsidRPr="00592DAE" w:rsidRDefault="008169A4" w:rsidP="00341CE7">
            <w:pPr>
              <w:jc w:val="right"/>
              <w:rPr>
                <w:sz w:val="20"/>
                <w:szCs w:val="20"/>
                <w:lang w:val="sq-AL"/>
              </w:rPr>
            </w:pPr>
            <w:r w:rsidRPr="00592DAE">
              <w:rPr>
                <w:sz w:val="20"/>
                <w:szCs w:val="20"/>
                <w:lang w:val="sq-AL"/>
              </w:rPr>
              <w:t>2030</w:t>
            </w:r>
          </w:p>
        </w:tc>
        <w:tc>
          <w:tcPr>
            <w:tcW w:w="1882" w:type="dxa"/>
            <w:tcBorders>
              <w:top w:val="nil"/>
              <w:left w:val="nil"/>
              <w:bottom w:val="single" w:sz="4" w:space="0" w:color="auto"/>
              <w:right w:val="single" w:sz="4" w:space="0" w:color="auto"/>
            </w:tcBorders>
          </w:tcPr>
          <w:p w14:paraId="65D4BECD" w14:textId="77777777" w:rsidR="008169A4" w:rsidRPr="00592DAE" w:rsidRDefault="008169A4" w:rsidP="00341CE7">
            <w:pPr>
              <w:jc w:val="center"/>
              <w:rPr>
                <w:sz w:val="20"/>
                <w:szCs w:val="20"/>
                <w:lang w:val="sq-AL"/>
              </w:rPr>
            </w:pPr>
          </w:p>
        </w:tc>
        <w:tc>
          <w:tcPr>
            <w:tcW w:w="1358" w:type="dxa"/>
            <w:tcBorders>
              <w:top w:val="nil"/>
              <w:left w:val="nil"/>
              <w:bottom w:val="single" w:sz="4" w:space="0" w:color="auto"/>
              <w:right w:val="single" w:sz="4" w:space="0" w:color="auto"/>
            </w:tcBorders>
          </w:tcPr>
          <w:p w14:paraId="2DA89E75" w14:textId="77777777" w:rsidR="008169A4" w:rsidRPr="00592DAE" w:rsidRDefault="008169A4" w:rsidP="00341CE7">
            <w:pPr>
              <w:rPr>
                <w:sz w:val="20"/>
                <w:szCs w:val="20"/>
                <w:lang w:val="sq-AL"/>
              </w:rPr>
            </w:pPr>
            <w:r w:rsidRPr="00592DAE">
              <w:rPr>
                <w:sz w:val="20"/>
                <w:szCs w:val="20"/>
                <w:lang w:val="sq-AL"/>
              </w:rPr>
              <w:t>Sektori i NE</w:t>
            </w:r>
          </w:p>
        </w:tc>
        <w:tc>
          <w:tcPr>
            <w:tcW w:w="1348" w:type="dxa"/>
            <w:gridSpan w:val="2"/>
            <w:tcBorders>
              <w:top w:val="nil"/>
              <w:left w:val="nil"/>
              <w:bottom w:val="single" w:sz="4" w:space="0" w:color="auto"/>
              <w:right w:val="single" w:sz="8" w:space="0" w:color="auto"/>
            </w:tcBorders>
          </w:tcPr>
          <w:p w14:paraId="38D3BC21" w14:textId="35E97B57" w:rsidR="008169A4" w:rsidRPr="00592DAE" w:rsidRDefault="00AF4E71" w:rsidP="00341CE7">
            <w:pPr>
              <w:rPr>
                <w:sz w:val="20"/>
                <w:szCs w:val="20"/>
                <w:lang w:val="sq-AL"/>
              </w:rPr>
            </w:pPr>
            <w:r>
              <w:rPr>
                <w:sz w:val="20"/>
                <w:szCs w:val="20"/>
              </w:rPr>
              <w:t>6</w:t>
            </w:r>
            <w:r w:rsidR="008169A4" w:rsidRPr="00592DAE">
              <w:rPr>
                <w:sz w:val="20"/>
                <w:szCs w:val="20"/>
              </w:rPr>
              <w:t>00,000 lekë</w:t>
            </w:r>
          </w:p>
        </w:tc>
        <w:tc>
          <w:tcPr>
            <w:tcW w:w="2918" w:type="dxa"/>
            <w:gridSpan w:val="2"/>
            <w:vAlign w:val="center"/>
            <w:hideMark/>
          </w:tcPr>
          <w:p w14:paraId="2DE51EB9" w14:textId="77777777" w:rsidR="008169A4" w:rsidRPr="00592DAE" w:rsidRDefault="008169A4" w:rsidP="00341CE7">
            <w:pPr>
              <w:rPr>
                <w:sz w:val="20"/>
                <w:szCs w:val="20"/>
                <w:lang w:val="sq-AL"/>
              </w:rPr>
            </w:pPr>
          </w:p>
        </w:tc>
      </w:tr>
      <w:tr w:rsidR="008169A4" w:rsidRPr="00592DAE" w14:paraId="33E98BA3" w14:textId="77777777" w:rsidTr="00341CE7">
        <w:trPr>
          <w:trHeight w:val="1575"/>
        </w:trPr>
        <w:tc>
          <w:tcPr>
            <w:tcW w:w="1518" w:type="dxa"/>
            <w:vMerge/>
            <w:tcBorders>
              <w:top w:val="single" w:sz="8" w:space="0" w:color="auto"/>
              <w:left w:val="single" w:sz="8" w:space="0" w:color="auto"/>
              <w:bottom w:val="single" w:sz="8" w:space="0" w:color="000000"/>
              <w:right w:val="single" w:sz="4" w:space="0" w:color="auto"/>
            </w:tcBorders>
            <w:shd w:val="clear" w:color="auto" w:fill="F6DAE2" w:themeFill="accent6" w:themeFillTint="33"/>
            <w:vAlign w:val="center"/>
          </w:tcPr>
          <w:p w14:paraId="0DC5D445" w14:textId="77777777" w:rsidR="008169A4" w:rsidRPr="00592DAE" w:rsidRDefault="008169A4" w:rsidP="00341CE7">
            <w:pPr>
              <w:rPr>
                <w:b/>
                <w:bCs/>
                <w:i/>
                <w:iCs/>
                <w:sz w:val="20"/>
                <w:szCs w:val="20"/>
                <w:lang w:val="sq-AL"/>
              </w:rPr>
            </w:pPr>
          </w:p>
        </w:tc>
        <w:tc>
          <w:tcPr>
            <w:tcW w:w="3575" w:type="dxa"/>
            <w:vMerge w:val="restart"/>
            <w:tcBorders>
              <w:top w:val="nil"/>
              <w:left w:val="single" w:sz="4" w:space="0" w:color="auto"/>
              <w:bottom w:val="single" w:sz="4" w:space="0" w:color="auto"/>
              <w:right w:val="single" w:sz="4" w:space="0" w:color="auto"/>
            </w:tcBorders>
          </w:tcPr>
          <w:p w14:paraId="796D2564" w14:textId="77777777" w:rsidR="008169A4" w:rsidRPr="00592DAE" w:rsidRDefault="008169A4" w:rsidP="00341CE7">
            <w:pPr>
              <w:jc w:val="center"/>
              <w:rPr>
                <w:sz w:val="20"/>
                <w:szCs w:val="20"/>
                <w:lang w:val="sq-AL"/>
              </w:rPr>
            </w:pPr>
            <w:r w:rsidRPr="00592DAE">
              <w:rPr>
                <w:sz w:val="20"/>
                <w:szCs w:val="20"/>
              </w:rPr>
              <w:t>2.2 Të përmbushen angazhimet publike zyrtare për barazi gjinore.</w:t>
            </w:r>
          </w:p>
          <w:p w14:paraId="6B4074B9" w14:textId="77777777" w:rsidR="008169A4" w:rsidRPr="00592DAE" w:rsidRDefault="008169A4" w:rsidP="00341CE7">
            <w:pPr>
              <w:jc w:val="center"/>
              <w:rPr>
                <w:sz w:val="20"/>
                <w:szCs w:val="20"/>
                <w:lang w:val="sq-AL"/>
              </w:rPr>
            </w:pPr>
          </w:p>
          <w:p w14:paraId="22CABFBD" w14:textId="77777777" w:rsidR="008169A4" w:rsidRPr="00592DAE" w:rsidRDefault="008169A4" w:rsidP="00341CE7">
            <w:pPr>
              <w:jc w:val="center"/>
              <w:rPr>
                <w:sz w:val="20"/>
                <w:szCs w:val="20"/>
                <w:lang w:val="sq-AL"/>
              </w:rPr>
            </w:pPr>
          </w:p>
          <w:p w14:paraId="572A8A1A" w14:textId="77777777" w:rsidR="008169A4" w:rsidRPr="00592DAE" w:rsidRDefault="008169A4" w:rsidP="00341CE7">
            <w:pPr>
              <w:jc w:val="center"/>
              <w:rPr>
                <w:sz w:val="20"/>
                <w:szCs w:val="20"/>
                <w:lang w:val="sq-AL"/>
              </w:rPr>
            </w:pPr>
          </w:p>
          <w:p w14:paraId="1600FC7C" w14:textId="77777777" w:rsidR="008169A4" w:rsidRPr="00592DAE" w:rsidRDefault="008169A4" w:rsidP="00341CE7">
            <w:pPr>
              <w:jc w:val="center"/>
              <w:rPr>
                <w:sz w:val="20"/>
                <w:szCs w:val="20"/>
                <w:lang w:val="sq-AL"/>
              </w:rPr>
            </w:pPr>
          </w:p>
          <w:p w14:paraId="3EE2F03F" w14:textId="77777777" w:rsidR="008169A4" w:rsidRPr="00592DAE" w:rsidRDefault="008169A4" w:rsidP="00341CE7">
            <w:pPr>
              <w:jc w:val="center"/>
              <w:rPr>
                <w:sz w:val="20"/>
                <w:szCs w:val="20"/>
                <w:lang w:val="sq-AL"/>
              </w:rPr>
            </w:pPr>
          </w:p>
          <w:p w14:paraId="23277A81" w14:textId="77777777" w:rsidR="008169A4" w:rsidRPr="00592DAE" w:rsidRDefault="008169A4" w:rsidP="00341CE7">
            <w:pPr>
              <w:jc w:val="center"/>
              <w:rPr>
                <w:sz w:val="20"/>
                <w:szCs w:val="20"/>
                <w:lang w:val="sq-AL"/>
              </w:rPr>
            </w:pPr>
          </w:p>
          <w:p w14:paraId="3C9363A1" w14:textId="77777777" w:rsidR="008169A4" w:rsidRPr="00592DAE" w:rsidRDefault="008169A4" w:rsidP="00341CE7">
            <w:pPr>
              <w:jc w:val="center"/>
              <w:rPr>
                <w:sz w:val="20"/>
                <w:szCs w:val="20"/>
                <w:lang w:val="sq-AL"/>
              </w:rPr>
            </w:pPr>
          </w:p>
          <w:p w14:paraId="7D61FD3D" w14:textId="77777777" w:rsidR="008169A4" w:rsidRPr="00592DAE" w:rsidRDefault="008169A4" w:rsidP="00341CE7">
            <w:pPr>
              <w:jc w:val="center"/>
              <w:rPr>
                <w:sz w:val="20"/>
                <w:szCs w:val="20"/>
                <w:lang w:val="sq-AL"/>
              </w:rPr>
            </w:pPr>
          </w:p>
          <w:p w14:paraId="333D00A0" w14:textId="77777777" w:rsidR="008169A4" w:rsidRPr="00592DAE" w:rsidRDefault="008169A4" w:rsidP="00341CE7">
            <w:pPr>
              <w:jc w:val="center"/>
              <w:rPr>
                <w:sz w:val="20"/>
                <w:szCs w:val="20"/>
                <w:lang w:val="sq-AL"/>
              </w:rPr>
            </w:pPr>
          </w:p>
          <w:p w14:paraId="464DD084" w14:textId="77777777" w:rsidR="008169A4" w:rsidRPr="00592DAE" w:rsidRDefault="008169A4" w:rsidP="00341CE7">
            <w:pPr>
              <w:jc w:val="center"/>
              <w:rPr>
                <w:sz w:val="20"/>
                <w:szCs w:val="20"/>
                <w:lang w:val="sq-AL"/>
              </w:rPr>
            </w:pPr>
          </w:p>
          <w:p w14:paraId="3245425A" w14:textId="77777777" w:rsidR="008169A4" w:rsidRPr="00592DAE" w:rsidRDefault="008169A4" w:rsidP="00341CE7">
            <w:pPr>
              <w:jc w:val="center"/>
              <w:rPr>
                <w:sz w:val="20"/>
                <w:szCs w:val="20"/>
                <w:lang w:val="sq-AL"/>
              </w:rPr>
            </w:pPr>
          </w:p>
          <w:p w14:paraId="260F4DD7" w14:textId="77777777" w:rsidR="008169A4" w:rsidRPr="00592DAE" w:rsidRDefault="008169A4" w:rsidP="00341CE7">
            <w:pPr>
              <w:jc w:val="center"/>
              <w:rPr>
                <w:sz w:val="20"/>
                <w:szCs w:val="20"/>
                <w:lang w:val="sq-AL"/>
              </w:rPr>
            </w:pPr>
          </w:p>
          <w:p w14:paraId="3429EE19" w14:textId="77777777" w:rsidR="008169A4" w:rsidRPr="00592DAE" w:rsidRDefault="008169A4" w:rsidP="00341CE7">
            <w:pPr>
              <w:rPr>
                <w:sz w:val="20"/>
                <w:szCs w:val="20"/>
              </w:rPr>
            </w:pPr>
          </w:p>
          <w:p w14:paraId="47A00960" w14:textId="77777777" w:rsidR="008169A4" w:rsidRPr="00592DAE" w:rsidRDefault="008169A4" w:rsidP="00341CE7">
            <w:pPr>
              <w:rPr>
                <w:sz w:val="20"/>
                <w:szCs w:val="20"/>
                <w:lang w:val="sq-AL"/>
              </w:rPr>
            </w:pPr>
            <w:r w:rsidRPr="00592DAE">
              <w:rPr>
                <w:sz w:val="20"/>
                <w:szCs w:val="20"/>
              </w:rPr>
              <w:t>3.1 Të reduktohen stereotipet gjinore në arsim.</w:t>
            </w:r>
          </w:p>
        </w:tc>
        <w:tc>
          <w:tcPr>
            <w:tcW w:w="3261" w:type="dxa"/>
            <w:vMerge w:val="restart"/>
            <w:tcBorders>
              <w:top w:val="nil"/>
              <w:left w:val="single" w:sz="4" w:space="0" w:color="auto"/>
              <w:bottom w:val="single" w:sz="4" w:space="0" w:color="auto"/>
              <w:right w:val="single" w:sz="4" w:space="0" w:color="auto"/>
            </w:tcBorders>
          </w:tcPr>
          <w:p w14:paraId="61948EF9" w14:textId="77777777" w:rsidR="008169A4" w:rsidRPr="00592DAE" w:rsidRDefault="008169A4" w:rsidP="00341CE7">
            <w:pPr>
              <w:rPr>
                <w:sz w:val="20"/>
                <w:szCs w:val="20"/>
              </w:rPr>
            </w:pPr>
            <w:r w:rsidRPr="00592DAE">
              <w:rPr>
                <w:sz w:val="20"/>
                <w:szCs w:val="20"/>
              </w:rPr>
              <w:t>- Nr. i deklaratave dhe angazhimeve publike</w:t>
            </w:r>
          </w:p>
          <w:p w14:paraId="1B3DE444" w14:textId="77777777" w:rsidR="008169A4" w:rsidRPr="00592DAE" w:rsidRDefault="008169A4" w:rsidP="00341CE7">
            <w:pPr>
              <w:rPr>
                <w:sz w:val="20"/>
                <w:szCs w:val="20"/>
              </w:rPr>
            </w:pPr>
            <w:r w:rsidRPr="00592DAE">
              <w:rPr>
                <w:sz w:val="20"/>
                <w:szCs w:val="20"/>
              </w:rPr>
              <w:t>- Raporte vjetore mbi barazinë gjinore</w:t>
            </w:r>
          </w:p>
          <w:p w14:paraId="306AB735" w14:textId="77777777" w:rsidR="008169A4" w:rsidRPr="00592DAE" w:rsidRDefault="008169A4" w:rsidP="00341CE7">
            <w:pPr>
              <w:rPr>
                <w:sz w:val="20"/>
                <w:szCs w:val="20"/>
              </w:rPr>
            </w:pPr>
          </w:p>
          <w:p w14:paraId="09033011" w14:textId="77777777" w:rsidR="008169A4" w:rsidRPr="00592DAE" w:rsidRDefault="008169A4" w:rsidP="00341CE7">
            <w:pPr>
              <w:rPr>
                <w:sz w:val="20"/>
                <w:szCs w:val="20"/>
              </w:rPr>
            </w:pPr>
          </w:p>
          <w:p w14:paraId="5A57BE69" w14:textId="77777777" w:rsidR="008169A4" w:rsidRPr="00592DAE" w:rsidRDefault="008169A4" w:rsidP="00341CE7">
            <w:pPr>
              <w:rPr>
                <w:sz w:val="20"/>
                <w:szCs w:val="20"/>
              </w:rPr>
            </w:pPr>
          </w:p>
          <w:p w14:paraId="7330B1DC" w14:textId="77777777" w:rsidR="008169A4" w:rsidRPr="00592DAE" w:rsidRDefault="008169A4" w:rsidP="00341CE7">
            <w:pPr>
              <w:rPr>
                <w:sz w:val="20"/>
                <w:szCs w:val="20"/>
              </w:rPr>
            </w:pPr>
          </w:p>
          <w:p w14:paraId="2E243E75" w14:textId="77777777" w:rsidR="008169A4" w:rsidRPr="00592DAE" w:rsidRDefault="008169A4" w:rsidP="00341CE7">
            <w:pPr>
              <w:rPr>
                <w:sz w:val="20"/>
                <w:szCs w:val="20"/>
              </w:rPr>
            </w:pPr>
          </w:p>
          <w:p w14:paraId="3F7CD9F5" w14:textId="77777777" w:rsidR="008169A4" w:rsidRPr="00592DAE" w:rsidRDefault="008169A4" w:rsidP="00341CE7">
            <w:pPr>
              <w:rPr>
                <w:sz w:val="20"/>
                <w:szCs w:val="20"/>
              </w:rPr>
            </w:pPr>
          </w:p>
          <w:p w14:paraId="33C26279" w14:textId="77777777" w:rsidR="008169A4" w:rsidRPr="00592DAE" w:rsidRDefault="008169A4" w:rsidP="00341CE7">
            <w:pPr>
              <w:rPr>
                <w:sz w:val="20"/>
                <w:szCs w:val="20"/>
              </w:rPr>
            </w:pPr>
          </w:p>
          <w:p w14:paraId="434886F6" w14:textId="77777777" w:rsidR="008169A4" w:rsidRPr="00592DAE" w:rsidRDefault="008169A4" w:rsidP="00341CE7">
            <w:pPr>
              <w:rPr>
                <w:sz w:val="20"/>
                <w:szCs w:val="20"/>
              </w:rPr>
            </w:pPr>
          </w:p>
          <w:p w14:paraId="506E5E63" w14:textId="77777777" w:rsidR="008169A4" w:rsidRPr="00592DAE" w:rsidRDefault="008169A4" w:rsidP="00341CE7">
            <w:pPr>
              <w:rPr>
                <w:sz w:val="20"/>
                <w:szCs w:val="20"/>
                <w:lang w:val="sq-AL"/>
              </w:rPr>
            </w:pPr>
            <w:r w:rsidRPr="00592DAE">
              <w:rPr>
                <w:sz w:val="20"/>
                <w:szCs w:val="20"/>
              </w:rPr>
              <w:t>- Nr. i aktiviteteve në shkolla mbi barazinë gjinore</w:t>
            </w:r>
            <w:r w:rsidRPr="00592DAE">
              <w:rPr>
                <w:sz w:val="20"/>
                <w:szCs w:val="20"/>
              </w:rPr>
              <w:br/>
              <w:t>- % e nxënësve të informuar</w:t>
            </w:r>
          </w:p>
        </w:tc>
        <w:tc>
          <w:tcPr>
            <w:tcW w:w="996" w:type="dxa"/>
            <w:vMerge w:val="restart"/>
            <w:tcBorders>
              <w:top w:val="nil"/>
              <w:left w:val="single" w:sz="4" w:space="0" w:color="auto"/>
              <w:bottom w:val="single" w:sz="4" w:space="0" w:color="auto"/>
              <w:right w:val="single" w:sz="4" w:space="0" w:color="auto"/>
            </w:tcBorders>
            <w:noWrap/>
            <w:vAlign w:val="center"/>
          </w:tcPr>
          <w:p w14:paraId="3527DFB2" w14:textId="77777777" w:rsidR="008169A4" w:rsidRPr="00592DAE" w:rsidRDefault="008169A4" w:rsidP="00341CE7">
            <w:pPr>
              <w:jc w:val="center"/>
              <w:rPr>
                <w:sz w:val="20"/>
                <w:szCs w:val="20"/>
                <w:lang w:val="sq-AL"/>
              </w:rPr>
            </w:pPr>
            <w:r w:rsidRPr="00592DAE">
              <w:rPr>
                <w:sz w:val="20"/>
                <w:szCs w:val="20"/>
                <w:lang w:val="sq-AL"/>
              </w:rPr>
              <w:t>2026</w:t>
            </w:r>
          </w:p>
        </w:tc>
        <w:tc>
          <w:tcPr>
            <w:tcW w:w="1080" w:type="dxa"/>
            <w:vMerge w:val="restart"/>
            <w:tcBorders>
              <w:top w:val="nil"/>
              <w:left w:val="single" w:sz="4" w:space="0" w:color="auto"/>
              <w:bottom w:val="single" w:sz="4" w:space="0" w:color="auto"/>
              <w:right w:val="single" w:sz="4" w:space="0" w:color="auto"/>
            </w:tcBorders>
            <w:noWrap/>
            <w:vAlign w:val="center"/>
          </w:tcPr>
          <w:p w14:paraId="55BD8070" w14:textId="77777777" w:rsidR="008169A4" w:rsidRPr="00592DAE" w:rsidRDefault="008169A4" w:rsidP="00341CE7">
            <w:pPr>
              <w:jc w:val="center"/>
              <w:rPr>
                <w:sz w:val="20"/>
                <w:szCs w:val="20"/>
                <w:lang w:val="sq-AL"/>
              </w:rPr>
            </w:pPr>
            <w:r w:rsidRPr="00592DAE">
              <w:rPr>
                <w:sz w:val="20"/>
                <w:szCs w:val="20"/>
                <w:lang w:val="sq-AL"/>
              </w:rPr>
              <w:t>2030</w:t>
            </w:r>
          </w:p>
        </w:tc>
        <w:tc>
          <w:tcPr>
            <w:tcW w:w="1882" w:type="dxa"/>
            <w:tcBorders>
              <w:top w:val="nil"/>
              <w:left w:val="nil"/>
              <w:bottom w:val="single" w:sz="4" w:space="0" w:color="auto"/>
              <w:right w:val="single" w:sz="4" w:space="0" w:color="auto"/>
            </w:tcBorders>
            <w:noWrap/>
          </w:tcPr>
          <w:p w14:paraId="61F51B2F" w14:textId="77777777" w:rsidR="008169A4" w:rsidRPr="00592DAE" w:rsidRDefault="008169A4" w:rsidP="00341CE7">
            <w:pPr>
              <w:rPr>
                <w:sz w:val="20"/>
                <w:szCs w:val="20"/>
                <w:lang w:val="sq-AL"/>
              </w:rPr>
            </w:pPr>
            <w:r w:rsidRPr="00592DAE">
              <w:rPr>
                <w:sz w:val="20"/>
                <w:szCs w:val="20"/>
                <w:lang w:val="sq-AL"/>
              </w:rPr>
              <w:t>Bashkia/Donatore</w:t>
            </w:r>
          </w:p>
        </w:tc>
        <w:tc>
          <w:tcPr>
            <w:tcW w:w="1358" w:type="dxa"/>
            <w:vMerge w:val="restart"/>
            <w:tcBorders>
              <w:top w:val="nil"/>
              <w:left w:val="single" w:sz="4" w:space="0" w:color="auto"/>
              <w:bottom w:val="single" w:sz="4" w:space="0" w:color="auto"/>
              <w:right w:val="single" w:sz="4" w:space="0" w:color="auto"/>
            </w:tcBorders>
          </w:tcPr>
          <w:p w14:paraId="1320B364" w14:textId="77777777" w:rsidR="008169A4" w:rsidRPr="00592DAE" w:rsidRDefault="008169A4" w:rsidP="00341CE7">
            <w:pPr>
              <w:jc w:val="center"/>
              <w:rPr>
                <w:sz w:val="20"/>
                <w:szCs w:val="20"/>
                <w:lang w:val="sq-AL"/>
              </w:rPr>
            </w:pPr>
            <w:r w:rsidRPr="00592DAE">
              <w:rPr>
                <w:sz w:val="20"/>
                <w:szCs w:val="20"/>
                <w:lang w:val="sq-AL"/>
              </w:rPr>
              <w:t>Sektori i NE</w:t>
            </w:r>
          </w:p>
        </w:tc>
        <w:tc>
          <w:tcPr>
            <w:tcW w:w="1348" w:type="dxa"/>
            <w:gridSpan w:val="2"/>
            <w:vMerge w:val="restart"/>
            <w:tcBorders>
              <w:top w:val="nil"/>
              <w:left w:val="single" w:sz="4" w:space="0" w:color="auto"/>
              <w:bottom w:val="single" w:sz="4" w:space="0" w:color="auto"/>
              <w:right w:val="single" w:sz="8" w:space="0" w:color="auto"/>
            </w:tcBorders>
          </w:tcPr>
          <w:p w14:paraId="688ECA95" w14:textId="44BF6C6E" w:rsidR="008169A4" w:rsidRPr="00592DAE" w:rsidRDefault="00AF4E71" w:rsidP="00341CE7">
            <w:pPr>
              <w:jc w:val="center"/>
              <w:rPr>
                <w:sz w:val="20"/>
                <w:szCs w:val="20"/>
                <w:lang w:val="sq-AL"/>
              </w:rPr>
            </w:pPr>
            <w:r>
              <w:rPr>
                <w:sz w:val="20"/>
                <w:szCs w:val="20"/>
              </w:rPr>
              <w:t>6</w:t>
            </w:r>
            <w:r w:rsidR="008169A4" w:rsidRPr="00592DAE">
              <w:rPr>
                <w:sz w:val="20"/>
                <w:szCs w:val="20"/>
              </w:rPr>
              <w:t>00,000 lekë</w:t>
            </w:r>
          </w:p>
          <w:p w14:paraId="48FEAC5E" w14:textId="77777777" w:rsidR="008169A4" w:rsidRDefault="008169A4" w:rsidP="00341CE7">
            <w:pPr>
              <w:jc w:val="center"/>
              <w:rPr>
                <w:sz w:val="20"/>
                <w:szCs w:val="20"/>
              </w:rPr>
            </w:pPr>
          </w:p>
          <w:p w14:paraId="6D275DC0" w14:textId="77777777" w:rsidR="008169A4" w:rsidRDefault="008169A4" w:rsidP="00341CE7">
            <w:pPr>
              <w:jc w:val="center"/>
              <w:rPr>
                <w:sz w:val="20"/>
                <w:szCs w:val="20"/>
              </w:rPr>
            </w:pPr>
          </w:p>
          <w:p w14:paraId="1A447328" w14:textId="77777777" w:rsidR="008169A4" w:rsidRDefault="008169A4" w:rsidP="00341CE7">
            <w:pPr>
              <w:jc w:val="center"/>
              <w:rPr>
                <w:sz w:val="20"/>
                <w:szCs w:val="20"/>
              </w:rPr>
            </w:pPr>
          </w:p>
          <w:p w14:paraId="4F02884B" w14:textId="312B6F21" w:rsidR="008169A4" w:rsidRPr="00592DAE" w:rsidRDefault="00AF4E71" w:rsidP="00341CE7">
            <w:pPr>
              <w:jc w:val="center"/>
              <w:rPr>
                <w:sz w:val="20"/>
                <w:szCs w:val="20"/>
                <w:lang w:val="sq-AL"/>
              </w:rPr>
            </w:pPr>
            <w:r>
              <w:rPr>
                <w:sz w:val="20"/>
                <w:szCs w:val="20"/>
              </w:rPr>
              <w:t>3</w:t>
            </w:r>
            <w:r w:rsidR="008169A4" w:rsidRPr="00592DAE">
              <w:rPr>
                <w:sz w:val="20"/>
                <w:szCs w:val="20"/>
              </w:rPr>
              <w:t>00,000 lekë</w:t>
            </w:r>
          </w:p>
          <w:p w14:paraId="2F337904" w14:textId="77777777" w:rsidR="008169A4" w:rsidRDefault="008169A4" w:rsidP="00341CE7">
            <w:pPr>
              <w:jc w:val="center"/>
              <w:rPr>
                <w:sz w:val="20"/>
                <w:szCs w:val="20"/>
              </w:rPr>
            </w:pPr>
          </w:p>
          <w:p w14:paraId="64B66B23" w14:textId="77777777" w:rsidR="008169A4" w:rsidRDefault="008169A4" w:rsidP="00341CE7">
            <w:pPr>
              <w:jc w:val="center"/>
              <w:rPr>
                <w:sz w:val="20"/>
                <w:szCs w:val="20"/>
              </w:rPr>
            </w:pPr>
          </w:p>
          <w:p w14:paraId="45391201" w14:textId="77777777" w:rsidR="008169A4" w:rsidRDefault="008169A4" w:rsidP="00341CE7">
            <w:pPr>
              <w:jc w:val="center"/>
              <w:rPr>
                <w:sz w:val="20"/>
                <w:szCs w:val="20"/>
              </w:rPr>
            </w:pPr>
          </w:p>
          <w:p w14:paraId="3974869B" w14:textId="77777777" w:rsidR="008169A4" w:rsidRDefault="008169A4" w:rsidP="00341CE7">
            <w:pPr>
              <w:jc w:val="center"/>
              <w:rPr>
                <w:sz w:val="20"/>
                <w:szCs w:val="20"/>
              </w:rPr>
            </w:pPr>
          </w:p>
          <w:p w14:paraId="465CC4C5" w14:textId="77777777" w:rsidR="008169A4" w:rsidRDefault="008169A4" w:rsidP="00341CE7">
            <w:pPr>
              <w:jc w:val="center"/>
              <w:rPr>
                <w:sz w:val="20"/>
                <w:szCs w:val="20"/>
              </w:rPr>
            </w:pPr>
          </w:p>
          <w:p w14:paraId="6FF598F3" w14:textId="77777777" w:rsidR="008169A4" w:rsidRDefault="008169A4" w:rsidP="00341CE7">
            <w:pPr>
              <w:jc w:val="center"/>
              <w:rPr>
                <w:sz w:val="20"/>
                <w:szCs w:val="20"/>
              </w:rPr>
            </w:pPr>
          </w:p>
          <w:p w14:paraId="3BF984E2" w14:textId="0DF5A92E" w:rsidR="008169A4" w:rsidRPr="00592DAE" w:rsidRDefault="00AF4E71" w:rsidP="00341CE7">
            <w:pPr>
              <w:jc w:val="center"/>
              <w:rPr>
                <w:sz w:val="20"/>
                <w:szCs w:val="20"/>
                <w:lang w:val="sq-AL"/>
              </w:rPr>
            </w:pPr>
            <w:r>
              <w:rPr>
                <w:sz w:val="20"/>
                <w:szCs w:val="20"/>
              </w:rPr>
              <w:t>3</w:t>
            </w:r>
            <w:r w:rsidR="008169A4" w:rsidRPr="00592DAE">
              <w:rPr>
                <w:sz w:val="20"/>
                <w:szCs w:val="20"/>
              </w:rPr>
              <w:t>00,000 lekë</w:t>
            </w:r>
          </w:p>
        </w:tc>
        <w:tc>
          <w:tcPr>
            <w:tcW w:w="2918" w:type="dxa"/>
            <w:gridSpan w:val="2"/>
            <w:vAlign w:val="center"/>
            <w:hideMark/>
          </w:tcPr>
          <w:p w14:paraId="6E6BAD70" w14:textId="77777777" w:rsidR="008169A4" w:rsidRPr="00592DAE" w:rsidRDefault="008169A4" w:rsidP="00341CE7">
            <w:pPr>
              <w:rPr>
                <w:sz w:val="20"/>
                <w:szCs w:val="20"/>
                <w:lang w:val="sq-AL"/>
              </w:rPr>
            </w:pPr>
          </w:p>
        </w:tc>
      </w:tr>
      <w:tr w:rsidR="008169A4" w:rsidRPr="00592DAE" w14:paraId="5B4013F5" w14:textId="77777777" w:rsidTr="00341CE7">
        <w:trPr>
          <w:trHeight w:val="1575"/>
        </w:trPr>
        <w:tc>
          <w:tcPr>
            <w:tcW w:w="1518" w:type="dxa"/>
            <w:vMerge/>
            <w:tcBorders>
              <w:top w:val="single" w:sz="8" w:space="0" w:color="auto"/>
              <w:left w:val="single" w:sz="8" w:space="0" w:color="auto"/>
              <w:bottom w:val="single" w:sz="8" w:space="0" w:color="000000"/>
              <w:right w:val="single" w:sz="4" w:space="0" w:color="auto"/>
            </w:tcBorders>
            <w:shd w:val="clear" w:color="auto" w:fill="F6DAE2" w:themeFill="accent6" w:themeFillTint="33"/>
            <w:vAlign w:val="center"/>
          </w:tcPr>
          <w:p w14:paraId="219EC010" w14:textId="77777777" w:rsidR="008169A4" w:rsidRPr="00592DAE" w:rsidRDefault="008169A4" w:rsidP="00341CE7">
            <w:pPr>
              <w:rPr>
                <w:b/>
                <w:bCs/>
                <w:i/>
                <w:iCs/>
                <w:sz w:val="20"/>
                <w:szCs w:val="20"/>
                <w:lang w:val="sq-AL"/>
              </w:rPr>
            </w:pPr>
          </w:p>
        </w:tc>
        <w:tc>
          <w:tcPr>
            <w:tcW w:w="3575" w:type="dxa"/>
            <w:vMerge/>
            <w:tcBorders>
              <w:top w:val="nil"/>
              <w:left w:val="single" w:sz="4" w:space="0" w:color="auto"/>
              <w:bottom w:val="single" w:sz="4" w:space="0" w:color="auto"/>
              <w:right w:val="single" w:sz="4" w:space="0" w:color="auto"/>
            </w:tcBorders>
          </w:tcPr>
          <w:p w14:paraId="623AE31A" w14:textId="77777777" w:rsidR="008169A4" w:rsidRPr="00592DAE" w:rsidRDefault="008169A4" w:rsidP="00341CE7">
            <w:pPr>
              <w:jc w:val="center"/>
              <w:rPr>
                <w:sz w:val="20"/>
                <w:szCs w:val="20"/>
              </w:rPr>
            </w:pPr>
          </w:p>
        </w:tc>
        <w:tc>
          <w:tcPr>
            <w:tcW w:w="3261" w:type="dxa"/>
            <w:vMerge/>
            <w:tcBorders>
              <w:top w:val="nil"/>
              <w:left w:val="single" w:sz="4" w:space="0" w:color="auto"/>
              <w:bottom w:val="single" w:sz="4" w:space="0" w:color="auto"/>
              <w:right w:val="single" w:sz="4" w:space="0" w:color="auto"/>
            </w:tcBorders>
          </w:tcPr>
          <w:p w14:paraId="08274C9E" w14:textId="77777777" w:rsidR="008169A4" w:rsidRPr="00592DAE" w:rsidRDefault="008169A4" w:rsidP="00341CE7">
            <w:pPr>
              <w:rPr>
                <w:sz w:val="20"/>
                <w:szCs w:val="20"/>
                <w:lang w:val="sq-AL"/>
              </w:rPr>
            </w:pPr>
          </w:p>
        </w:tc>
        <w:tc>
          <w:tcPr>
            <w:tcW w:w="996" w:type="dxa"/>
            <w:vMerge/>
            <w:tcBorders>
              <w:top w:val="nil"/>
              <w:left w:val="single" w:sz="4" w:space="0" w:color="auto"/>
              <w:bottom w:val="single" w:sz="4" w:space="0" w:color="auto"/>
              <w:right w:val="single" w:sz="4" w:space="0" w:color="auto"/>
            </w:tcBorders>
            <w:noWrap/>
            <w:vAlign w:val="center"/>
          </w:tcPr>
          <w:p w14:paraId="66B2F9A6" w14:textId="77777777" w:rsidR="008169A4" w:rsidRPr="00592DAE" w:rsidRDefault="008169A4" w:rsidP="00341CE7">
            <w:pPr>
              <w:jc w:val="center"/>
              <w:rPr>
                <w:sz w:val="20"/>
                <w:szCs w:val="20"/>
                <w:lang w:val="sq-AL"/>
              </w:rPr>
            </w:pPr>
          </w:p>
        </w:tc>
        <w:tc>
          <w:tcPr>
            <w:tcW w:w="1080" w:type="dxa"/>
            <w:vMerge/>
            <w:tcBorders>
              <w:top w:val="nil"/>
              <w:left w:val="single" w:sz="4" w:space="0" w:color="auto"/>
              <w:bottom w:val="single" w:sz="4" w:space="0" w:color="auto"/>
              <w:right w:val="single" w:sz="4" w:space="0" w:color="auto"/>
            </w:tcBorders>
            <w:noWrap/>
            <w:vAlign w:val="center"/>
          </w:tcPr>
          <w:p w14:paraId="7B20549B" w14:textId="77777777" w:rsidR="008169A4" w:rsidRPr="00592DAE" w:rsidRDefault="008169A4" w:rsidP="00341CE7">
            <w:pPr>
              <w:jc w:val="center"/>
              <w:rPr>
                <w:sz w:val="20"/>
                <w:szCs w:val="20"/>
                <w:lang w:val="sq-AL"/>
              </w:rPr>
            </w:pPr>
          </w:p>
        </w:tc>
        <w:tc>
          <w:tcPr>
            <w:tcW w:w="1882" w:type="dxa"/>
            <w:tcBorders>
              <w:top w:val="nil"/>
              <w:left w:val="nil"/>
              <w:bottom w:val="single" w:sz="4" w:space="0" w:color="auto"/>
              <w:right w:val="single" w:sz="4" w:space="0" w:color="auto"/>
            </w:tcBorders>
            <w:noWrap/>
          </w:tcPr>
          <w:p w14:paraId="225AAF74" w14:textId="77777777" w:rsidR="008169A4" w:rsidRPr="00592DAE" w:rsidRDefault="008169A4" w:rsidP="00341CE7">
            <w:pPr>
              <w:rPr>
                <w:sz w:val="20"/>
                <w:szCs w:val="20"/>
                <w:lang w:val="sq-AL"/>
              </w:rPr>
            </w:pPr>
          </w:p>
        </w:tc>
        <w:tc>
          <w:tcPr>
            <w:tcW w:w="1358" w:type="dxa"/>
            <w:vMerge/>
            <w:tcBorders>
              <w:top w:val="nil"/>
              <w:left w:val="single" w:sz="4" w:space="0" w:color="auto"/>
              <w:bottom w:val="single" w:sz="4" w:space="0" w:color="auto"/>
              <w:right w:val="single" w:sz="4" w:space="0" w:color="auto"/>
            </w:tcBorders>
          </w:tcPr>
          <w:p w14:paraId="0C09B369" w14:textId="77777777" w:rsidR="008169A4" w:rsidRPr="00592DAE" w:rsidRDefault="008169A4" w:rsidP="00341CE7">
            <w:pPr>
              <w:jc w:val="center"/>
              <w:rPr>
                <w:sz w:val="20"/>
                <w:szCs w:val="20"/>
                <w:lang w:val="sq-AL"/>
              </w:rPr>
            </w:pPr>
          </w:p>
        </w:tc>
        <w:tc>
          <w:tcPr>
            <w:tcW w:w="1348" w:type="dxa"/>
            <w:gridSpan w:val="2"/>
            <w:vMerge/>
            <w:tcBorders>
              <w:top w:val="nil"/>
              <w:left w:val="single" w:sz="4" w:space="0" w:color="auto"/>
              <w:bottom w:val="single" w:sz="4" w:space="0" w:color="auto"/>
              <w:right w:val="single" w:sz="8" w:space="0" w:color="auto"/>
            </w:tcBorders>
          </w:tcPr>
          <w:p w14:paraId="6B347472" w14:textId="77777777" w:rsidR="008169A4" w:rsidRPr="00592DAE" w:rsidRDefault="008169A4" w:rsidP="00341CE7">
            <w:pPr>
              <w:jc w:val="center"/>
              <w:rPr>
                <w:sz w:val="20"/>
                <w:szCs w:val="20"/>
                <w:lang w:val="sq-AL"/>
              </w:rPr>
            </w:pPr>
          </w:p>
        </w:tc>
        <w:tc>
          <w:tcPr>
            <w:tcW w:w="2918" w:type="dxa"/>
            <w:gridSpan w:val="2"/>
            <w:vAlign w:val="center"/>
          </w:tcPr>
          <w:p w14:paraId="5664272F" w14:textId="77777777" w:rsidR="008169A4" w:rsidRPr="00592DAE" w:rsidRDefault="008169A4" w:rsidP="00341CE7">
            <w:pPr>
              <w:rPr>
                <w:sz w:val="20"/>
                <w:szCs w:val="20"/>
                <w:lang w:val="sq-AL"/>
              </w:rPr>
            </w:pPr>
          </w:p>
        </w:tc>
      </w:tr>
      <w:tr w:rsidR="008169A4" w:rsidRPr="00592DAE" w14:paraId="5559796F" w14:textId="77777777" w:rsidTr="00341CE7">
        <w:trPr>
          <w:trHeight w:val="1575"/>
        </w:trPr>
        <w:tc>
          <w:tcPr>
            <w:tcW w:w="1518" w:type="dxa"/>
            <w:vMerge/>
            <w:tcBorders>
              <w:top w:val="single" w:sz="8" w:space="0" w:color="auto"/>
              <w:left w:val="single" w:sz="8" w:space="0" w:color="auto"/>
              <w:bottom w:val="single" w:sz="8" w:space="0" w:color="000000"/>
              <w:right w:val="single" w:sz="4" w:space="0" w:color="auto"/>
            </w:tcBorders>
            <w:shd w:val="clear" w:color="auto" w:fill="F6DAE2" w:themeFill="accent6" w:themeFillTint="33"/>
            <w:vAlign w:val="center"/>
            <w:hideMark/>
          </w:tcPr>
          <w:p w14:paraId="444A8EB2" w14:textId="77777777" w:rsidR="008169A4" w:rsidRPr="00592DAE" w:rsidRDefault="008169A4" w:rsidP="00341CE7">
            <w:pPr>
              <w:rPr>
                <w:b/>
                <w:bCs/>
                <w:i/>
                <w:iCs/>
                <w:sz w:val="20"/>
                <w:szCs w:val="20"/>
                <w:lang w:val="sq-AL"/>
              </w:rPr>
            </w:pPr>
          </w:p>
        </w:tc>
        <w:tc>
          <w:tcPr>
            <w:tcW w:w="3575" w:type="dxa"/>
            <w:vMerge/>
            <w:tcBorders>
              <w:top w:val="nil"/>
              <w:left w:val="single" w:sz="4" w:space="0" w:color="auto"/>
              <w:bottom w:val="single" w:sz="4" w:space="0" w:color="auto"/>
              <w:right w:val="single" w:sz="4" w:space="0" w:color="auto"/>
            </w:tcBorders>
            <w:hideMark/>
          </w:tcPr>
          <w:p w14:paraId="7B5123B1" w14:textId="77777777" w:rsidR="008169A4" w:rsidRPr="00592DAE" w:rsidRDefault="008169A4" w:rsidP="00341CE7">
            <w:pPr>
              <w:rPr>
                <w:sz w:val="20"/>
                <w:szCs w:val="20"/>
                <w:lang w:val="sq-AL"/>
              </w:rPr>
            </w:pPr>
          </w:p>
        </w:tc>
        <w:tc>
          <w:tcPr>
            <w:tcW w:w="3261" w:type="dxa"/>
            <w:vMerge/>
            <w:tcBorders>
              <w:top w:val="nil"/>
              <w:left w:val="single" w:sz="4" w:space="0" w:color="auto"/>
              <w:bottom w:val="single" w:sz="4" w:space="0" w:color="auto"/>
              <w:right w:val="single" w:sz="4" w:space="0" w:color="auto"/>
            </w:tcBorders>
            <w:hideMark/>
          </w:tcPr>
          <w:p w14:paraId="72D3461E" w14:textId="77777777" w:rsidR="008169A4" w:rsidRPr="00592DAE" w:rsidRDefault="008169A4" w:rsidP="00341CE7">
            <w:pPr>
              <w:rPr>
                <w:sz w:val="20"/>
                <w:szCs w:val="20"/>
                <w:lang w:val="sq-AL"/>
              </w:rPr>
            </w:pPr>
          </w:p>
        </w:tc>
        <w:tc>
          <w:tcPr>
            <w:tcW w:w="996" w:type="dxa"/>
            <w:vMerge/>
            <w:tcBorders>
              <w:top w:val="nil"/>
              <w:left w:val="single" w:sz="4" w:space="0" w:color="auto"/>
              <w:bottom w:val="single" w:sz="4" w:space="0" w:color="auto"/>
              <w:right w:val="single" w:sz="4" w:space="0" w:color="auto"/>
            </w:tcBorders>
            <w:vAlign w:val="center"/>
            <w:hideMark/>
          </w:tcPr>
          <w:p w14:paraId="2E35E0D0" w14:textId="77777777" w:rsidR="008169A4" w:rsidRPr="00592DAE" w:rsidRDefault="008169A4" w:rsidP="00341CE7">
            <w:pPr>
              <w:rPr>
                <w:sz w:val="20"/>
                <w:szCs w:val="20"/>
                <w:lang w:val="sq-AL"/>
              </w:rPr>
            </w:pPr>
          </w:p>
        </w:tc>
        <w:tc>
          <w:tcPr>
            <w:tcW w:w="1080" w:type="dxa"/>
            <w:vMerge/>
            <w:tcBorders>
              <w:top w:val="nil"/>
              <w:left w:val="single" w:sz="4" w:space="0" w:color="auto"/>
              <w:bottom w:val="single" w:sz="4" w:space="0" w:color="auto"/>
              <w:right w:val="single" w:sz="4" w:space="0" w:color="auto"/>
            </w:tcBorders>
            <w:vAlign w:val="center"/>
            <w:hideMark/>
          </w:tcPr>
          <w:p w14:paraId="63FE6566" w14:textId="77777777" w:rsidR="008169A4" w:rsidRPr="00592DAE" w:rsidRDefault="008169A4" w:rsidP="00341CE7">
            <w:pPr>
              <w:rPr>
                <w:sz w:val="20"/>
                <w:szCs w:val="20"/>
                <w:lang w:val="sq-AL"/>
              </w:rPr>
            </w:pPr>
          </w:p>
        </w:tc>
        <w:tc>
          <w:tcPr>
            <w:tcW w:w="1882" w:type="dxa"/>
            <w:tcBorders>
              <w:top w:val="nil"/>
              <w:left w:val="nil"/>
              <w:bottom w:val="single" w:sz="4" w:space="0" w:color="auto"/>
              <w:right w:val="single" w:sz="4" w:space="0" w:color="auto"/>
            </w:tcBorders>
          </w:tcPr>
          <w:p w14:paraId="3184F217" w14:textId="77777777" w:rsidR="008169A4" w:rsidRPr="00592DAE" w:rsidRDefault="008169A4" w:rsidP="00341CE7">
            <w:pPr>
              <w:rPr>
                <w:sz w:val="20"/>
                <w:szCs w:val="20"/>
                <w:lang w:val="sq-AL"/>
              </w:rPr>
            </w:pPr>
          </w:p>
        </w:tc>
        <w:tc>
          <w:tcPr>
            <w:tcW w:w="1358" w:type="dxa"/>
            <w:vMerge/>
            <w:tcBorders>
              <w:top w:val="nil"/>
              <w:left w:val="single" w:sz="4" w:space="0" w:color="auto"/>
              <w:bottom w:val="single" w:sz="4" w:space="0" w:color="auto"/>
              <w:right w:val="single" w:sz="4" w:space="0" w:color="auto"/>
            </w:tcBorders>
            <w:vAlign w:val="center"/>
            <w:hideMark/>
          </w:tcPr>
          <w:p w14:paraId="544835BE" w14:textId="77777777" w:rsidR="008169A4" w:rsidRPr="00592DAE" w:rsidRDefault="008169A4" w:rsidP="00341CE7">
            <w:pPr>
              <w:rPr>
                <w:sz w:val="20"/>
                <w:szCs w:val="20"/>
                <w:lang w:val="sq-AL"/>
              </w:rPr>
            </w:pPr>
          </w:p>
        </w:tc>
        <w:tc>
          <w:tcPr>
            <w:tcW w:w="1348" w:type="dxa"/>
            <w:gridSpan w:val="2"/>
            <w:vMerge/>
            <w:tcBorders>
              <w:top w:val="nil"/>
              <w:left w:val="single" w:sz="4" w:space="0" w:color="auto"/>
              <w:bottom w:val="single" w:sz="4" w:space="0" w:color="auto"/>
              <w:right w:val="single" w:sz="8" w:space="0" w:color="auto"/>
            </w:tcBorders>
            <w:hideMark/>
          </w:tcPr>
          <w:p w14:paraId="7142AE9C" w14:textId="77777777" w:rsidR="008169A4" w:rsidRPr="00592DAE" w:rsidRDefault="008169A4" w:rsidP="00341CE7">
            <w:pPr>
              <w:rPr>
                <w:sz w:val="20"/>
                <w:szCs w:val="20"/>
                <w:lang w:val="sq-AL"/>
              </w:rPr>
            </w:pPr>
          </w:p>
        </w:tc>
        <w:tc>
          <w:tcPr>
            <w:tcW w:w="2918" w:type="dxa"/>
            <w:gridSpan w:val="2"/>
            <w:vAlign w:val="center"/>
            <w:hideMark/>
          </w:tcPr>
          <w:p w14:paraId="263188CA" w14:textId="77777777" w:rsidR="008169A4" w:rsidRPr="00592DAE" w:rsidRDefault="008169A4" w:rsidP="00341CE7">
            <w:pPr>
              <w:rPr>
                <w:sz w:val="20"/>
                <w:szCs w:val="20"/>
                <w:lang w:val="sq-AL"/>
              </w:rPr>
            </w:pPr>
          </w:p>
        </w:tc>
      </w:tr>
      <w:tr w:rsidR="008169A4" w:rsidRPr="00592DAE" w14:paraId="791C4498" w14:textId="77777777" w:rsidTr="00341CE7">
        <w:trPr>
          <w:trHeight w:val="2160"/>
        </w:trPr>
        <w:tc>
          <w:tcPr>
            <w:tcW w:w="1518" w:type="dxa"/>
            <w:vMerge/>
            <w:tcBorders>
              <w:top w:val="single" w:sz="8" w:space="0" w:color="auto"/>
              <w:left w:val="single" w:sz="8" w:space="0" w:color="auto"/>
              <w:bottom w:val="single" w:sz="8" w:space="0" w:color="000000"/>
              <w:right w:val="single" w:sz="4" w:space="0" w:color="auto"/>
            </w:tcBorders>
            <w:shd w:val="clear" w:color="auto" w:fill="F6DAE2" w:themeFill="accent6" w:themeFillTint="33"/>
            <w:vAlign w:val="center"/>
            <w:hideMark/>
          </w:tcPr>
          <w:p w14:paraId="64947F2C" w14:textId="77777777" w:rsidR="008169A4" w:rsidRPr="00592DAE" w:rsidRDefault="008169A4" w:rsidP="00341CE7">
            <w:pPr>
              <w:rPr>
                <w:b/>
                <w:bCs/>
                <w:i/>
                <w:iCs/>
                <w:sz w:val="20"/>
                <w:szCs w:val="20"/>
                <w:lang w:val="sq-AL"/>
              </w:rPr>
            </w:pPr>
          </w:p>
        </w:tc>
        <w:tc>
          <w:tcPr>
            <w:tcW w:w="3575" w:type="dxa"/>
            <w:tcBorders>
              <w:top w:val="nil"/>
              <w:left w:val="nil"/>
              <w:bottom w:val="single" w:sz="4" w:space="0" w:color="auto"/>
              <w:right w:val="single" w:sz="4" w:space="0" w:color="auto"/>
            </w:tcBorders>
          </w:tcPr>
          <w:p w14:paraId="2FDFB1BF" w14:textId="77777777" w:rsidR="008169A4" w:rsidRPr="00592DAE" w:rsidRDefault="008169A4" w:rsidP="00341CE7">
            <w:pPr>
              <w:rPr>
                <w:sz w:val="20"/>
                <w:szCs w:val="20"/>
                <w:lang w:val="sq-AL"/>
              </w:rPr>
            </w:pPr>
            <w:r w:rsidRPr="00592DAE">
              <w:rPr>
                <w:sz w:val="20"/>
                <w:szCs w:val="20"/>
              </w:rPr>
              <w:t>3.2 Të sigurohet qasje në informacion shëndetësor për gratë dhe të rinjtë.</w:t>
            </w:r>
          </w:p>
        </w:tc>
        <w:tc>
          <w:tcPr>
            <w:tcW w:w="3261" w:type="dxa"/>
            <w:tcBorders>
              <w:top w:val="nil"/>
              <w:left w:val="nil"/>
              <w:bottom w:val="single" w:sz="4" w:space="0" w:color="auto"/>
              <w:right w:val="single" w:sz="4" w:space="0" w:color="auto"/>
            </w:tcBorders>
          </w:tcPr>
          <w:p w14:paraId="33B2C268" w14:textId="77777777" w:rsidR="008169A4" w:rsidRPr="00592DAE" w:rsidRDefault="008169A4" w:rsidP="00341CE7">
            <w:pPr>
              <w:rPr>
                <w:sz w:val="20"/>
                <w:szCs w:val="20"/>
              </w:rPr>
            </w:pPr>
            <w:r w:rsidRPr="00592DAE">
              <w:rPr>
                <w:sz w:val="20"/>
                <w:szCs w:val="20"/>
              </w:rPr>
              <w:t xml:space="preserve">Nr. i fushatave </w:t>
            </w:r>
            <w:r>
              <w:rPr>
                <w:sz w:val="20"/>
                <w:szCs w:val="20"/>
              </w:rPr>
              <w:t>të realizuara</w:t>
            </w:r>
            <w:r w:rsidRPr="00592DAE">
              <w:rPr>
                <w:sz w:val="20"/>
                <w:szCs w:val="20"/>
              </w:rPr>
              <w:br/>
            </w:r>
          </w:p>
          <w:p w14:paraId="6BD8D756" w14:textId="77777777" w:rsidR="008169A4" w:rsidRPr="00592DAE" w:rsidRDefault="008169A4" w:rsidP="00341CE7">
            <w:pPr>
              <w:rPr>
                <w:sz w:val="20"/>
                <w:szCs w:val="20"/>
                <w:lang w:val="sq-AL"/>
              </w:rPr>
            </w:pPr>
            <w:r w:rsidRPr="00592DAE">
              <w:rPr>
                <w:sz w:val="20"/>
                <w:szCs w:val="20"/>
              </w:rPr>
              <w:t>% e grave të informuara për shërbimet</w:t>
            </w:r>
          </w:p>
        </w:tc>
        <w:tc>
          <w:tcPr>
            <w:tcW w:w="996" w:type="dxa"/>
            <w:tcBorders>
              <w:top w:val="nil"/>
              <w:left w:val="nil"/>
              <w:bottom w:val="single" w:sz="4" w:space="0" w:color="auto"/>
              <w:right w:val="single" w:sz="4" w:space="0" w:color="auto"/>
            </w:tcBorders>
            <w:noWrap/>
            <w:vAlign w:val="center"/>
          </w:tcPr>
          <w:p w14:paraId="78C9E9FC" w14:textId="77777777" w:rsidR="008169A4" w:rsidRPr="00592DAE" w:rsidRDefault="008169A4" w:rsidP="00341CE7">
            <w:pPr>
              <w:jc w:val="right"/>
              <w:rPr>
                <w:sz w:val="20"/>
                <w:szCs w:val="20"/>
                <w:lang w:val="sq-AL"/>
              </w:rPr>
            </w:pPr>
            <w:r w:rsidRPr="00592DAE">
              <w:rPr>
                <w:sz w:val="20"/>
                <w:szCs w:val="20"/>
                <w:lang w:val="sq-AL"/>
              </w:rPr>
              <w:t>2026</w:t>
            </w:r>
          </w:p>
        </w:tc>
        <w:tc>
          <w:tcPr>
            <w:tcW w:w="1080" w:type="dxa"/>
            <w:tcBorders>
              <w:top w:val="nil"/>
              <w:left w:val="nil"/>
              <w:bottom w:val="single" w:sz="4" w:space="0" w:color="auto"/>
              <w:right w:val="single" w:sz="4" w:space="0" w:color="auto"/>
            </w:tcBorders>
            <w:noWrap/>
            <w:vAlign w:val="center"/>
          </w:tcPr>
          <w:p w14:paraId="7522708A" w14:textId="77777777" w:rsidR="008169A4" w:rsidRPr="00592DAE" w:rsidRDefault="008169A4" w:rsidP="00341CE7">
            <w:pPr>
              <w:jc w:val="right"/>
              <w:rPr>
                <w:sz w:val="20"/>
                <w:szCs w:val="20"/>
                <w:lang w:val="sq-AL"/>
              </w:rPr>
            </w:pPr>
            <w:r w:rsidRPr="00592DAE">
              <w:rPr>
                <w:sz w:val="20"/>
                <w:szCs w:val="20"/>
                <w:lang w:val="sq-AL"/>
              </w:rPr>
              <w:t>2030</w:t>
            </w:r>
          </w:p>
        </w:tc>
        <w:tc>
          <w:tcPr>
            <w:tcW w:w="1882" w:type="dxa"/>
            <w:tcBorders>
              <w:top w:val="nil"/>
              <w:left w:val="nil"/>
              <w:bottom w:val="single" w:sz="4" w:space="0" w:color="auto"/>
              <w:right w:val="single" w:sz="4" w:space="0" w:color="auto"/>
            </w:tcBorders>
          </w:tcPr>
          <w:p w14:paraId="4544520C" w14:textId="77777777" w:rsidR="008169A4" w:rsidRPr="00592DAE" w:rsidRDefault="008169A4" w:rsidP="00341CE7">
            <w:pPr>
              <w:rPr>
                <w:sz w:val="20"/>
                <w:szCs w:val="20"/>
                <w:lang w:val="sq-AL"/>
              </w:rPr>
            </w:pPr>
            <w:r w:rsidRPr="00592DAE">
              <w:rPr>
                <w:sz w:val="20"/>
                <w:szCs w:val="20"/>
                <w:lang w:val="sq-AL"/>
              </w:rPr>
              <w:t>Bashkia/Donatore</w:t>
            </w:r>
          </w:p>
        </w:tc>
        <w:tc>
          <w:tcPr>
            <w:tcW w:w="1358" w:type="dxa"/>
            <w:tcBorders>
              <w:top w:val="nil"/>
              <w:left w:val="nil"/>
              <w:bottom w:val="single" w:sz="4" w:space="0" w:color="auto"/>
              <w:right w:val="single" w:sz="4" w:space="0" w:color="auto"/>
            </w:tcBorders>
          </w:tcPr>
          <w:p w14:paraId="690C7032" w14:textId="77777777" w:rsidR="008169A4" w:rsidRPr="00592DAE" w:rsidRDefault="008169A4" w:rsidP="00341CE7">
            <w:pPr>
              <w:rPr>
                <w:sz w:val="20"/>
                <w:szCs w:val="20"/>
                <w:lang w:val="sq-AL"/>
              </w:rPr>
            </w:pPr>
            <w:r w:rsidRPr="00592DAE">
              <w:rPr>
                <w:sz w:val="20"/>
                <w:szCs w:val="20"/>
                <w:lang w:val="sq-AL"/>
              </w:rPr>
              <w:t>Sektori i NE</w:t>
            </w:r>
          </w:p>
        </w:tc>
        <w:tc>
          <w:tcPr>
            <w:tcW w:w="1348" w:type="dxa"/>
            <w:gridSpan w:val="2"/>
            <w:tcBorders>
              <w:top w:val="nil"/>
              <w:left w:val="nil"/>
              <w:bottom w:val="single" w:sz="4" w:space="0" w:color="auto"/>
              <w:right w:val="single" w:sz="8" w:space="0" w:color="auto"/>
            </w:tcBorders>
          </w:tcPr>
          <w:p w14:paraId="1D392634" w14:textId="55A14774" w:rsidR="008169A4" w:rsidRPr="00592DAE" w:rsidRDefault="00AF4E71" w:rsidP="00341CE7">
            <w:pPr>
              <w:rPr>
                <w:sz w:val="20"/>
                <w:szCs w:val="20"/>
                <w:lang w:val="sq-AL"/>
              </w:rPr>
            </w:pPr>
            <w:r>
              <w:rPr>
                <w:sz w:val="20"/>
                <w:szCs w:val="20"/>
              </w:rPr>
              <w:t>8</w:t>
            </w:r>
            <w:r w:rsidR="008169A4" w:rsidRPr="00592DAE">
              <w:rPr>
                <w:sz w:val="20"/>
                <w:szCs w:val="20"/>
              </w:rPr>
              <w:t>00,000 lekë</w:t>
            </w:r>
          </w:p>
        </w:tc>
        <w:tc>
          <w:tcPr>
            <w:tcW w:w="2918" w:type="dxa"/>
            <w:gridSpan w:val="2"/>
            <w:vAlign w:val="center"/>
            <w:hideMark/>
          </w:tcPr>
          <w:p w14:paraId="347B4BEB" w14:textId="77777777" w:rsidR="008169A4" w:rsidRPr="00592DAE" w:rsidRDefault="008169A4" w:rsidP="00341CE7">
            <w:pPr>
              <w:rPr>
                <w:sz w:val="20"/>
                <w:szCs w:val="20"/>
                <w:lang w:val="sq-AL"/>
              </w:rPr>
            </w:pPr>
          </w:p>
        </w:tc>
      </w:tr>
      <w:tr w:rsidR="008169A4" w:rsidRPr="00592DAE" w14:paraId="788B4F35" w14:textId="77777777" w:rsidTr="00341CE7">
        <w:trPr>
          <w:trHeight w:val="1530"/>
        </w:trPr>
        <w:tc>
          <w:tcPr>
            <w:tcW w:w="1518" w:type="dxa"/>
            <w:vMerge/>
            <w:tcBorders>
              <w:top w:val="single" w:sz="8" w:space="0" w:color="auto"/>
              <w:left w:val="single" w:sz="8" w:space="0" w:color="auto"/>
              <w:bottom w:val="single" w:sz="8" w:space="0" w:color="000000"/>
              <w:right w:val="single" w:sz="4" w:space="0" w:color="auto"/>
            </w:tcBorders>
            <w:shd w:val="clear" w:color="auto" w:fill="F6DAE2" w:themeFill="accent6" w:themeFillTint="33"/>
            <w:vAlign w:val="center"/>
            <w:hideMark/>
          </w:tcPr>
          <w:p w14:paraId="4C806D56" w14:textId="77777777" w:rsidR="008169A4" w:rsidRPr="00592DAE" w:rsidRDefault="008169A4" w:rsidP="00341CE7">
            <w:pPr>
              <w:rPr>
                <w:b/>
                <w:bCs/>
                <w:i/>
                <w:iCs/>
                <w:sz w:val="20"/>
                <w:szCs w:val="20"/>
                <w:lang w:val="sq-AL"/>
              </w:rPr>
            </w:pPr>
          </w:p>
        </w:tc>
        <w:tc>
          <w:tcPr>
            <w:tcW w:w="3575" w:type="dxa"/>
            <w:tcBorders>
              <w:top w:val="nil"/>
              <w:left w:val="nil"/>
              <w:bottom w:val="single" w:sz="4" w:space="0" w:color="auto"/>
              <w:right w:val="single" w:sz="4" w:space="0" w:color="auto"/>
            </w:tcBorders>
          </w:tcPr>
          <w:p w14:paraId="75EF484B" w14:textId="77777777" w:rsidR="008169A4" w:rsidRPr="00592DAE" w:rsidRDefault="008169A4" w:rsidP="00341CE7">
            <w:pPr>
              <w:rPr>
                <w:sz w:val="20"/>
                <w:szCs w:val="20"/>
                <w:lang w:val="sq-AL"/>
              </w:rPr>
            </w:pPr>
            <w:r w:rsidRPr="00592DAE">
              <w:rPr>
                <w:sz w:val="20"/>
                <w:szCs w:val="20"/>
              </w:rPr>
              <w:t>3.3 Të sigurohet qasje e barabartë në përkujdesje sociale.</w:t>
            </w:r>
          </w:p>
        </w:tc>
        <w:tc>
          <w:tcPr>
            <w:tcW w:w="3261" w:type="dxa"/>
            <w:tcBorders>
              <w:top w:val="nil"/>
              <w:left w:val="nil"/>
              <w:bottom w:val="single" w:sz="4" w:space="0" w:color="auto"/>
              <w:right w:val="single" w:sz="4" w:space="0" w:color="auto"/>
            </w:tcBorders>
          </w:tcPr>
          <w:p w14:paraId="77B54D18" w14:textId="77777777" w:rsidR="008169A4" w:rsidRPr="00592DAE" w:rsidRDefault="008169A4" w:rsidP="00341CE7">
            <w:pPr>
              <w:rPr>
                <w:sz w:val="20"/>
                <w:szCs w:val="20"/>
                <w:lang w:val="sq-AL"/>
              </w:rPr>
            </w:pPr>
            <w:r w:rsidRPr="00592DAE">
              <w:rPr>
                <w:sz w:val="20"/>
                <w:szCs w:val="20"/>
              </w:rPr>
              <w:t>- % e grave që përfitojnë nga shërbimet sociale</w:t>
            </w:r>
          </w:p>
        </w:tc>
        <w:tc>
          <w:tcPr>
            <w:tcW w:w="996" w:type="dxa"/>
            <w:tcBorders>
              <w:top w:val="nil"/>
              <w:left w:val="nil"/>
              <w:bottom w:val="single" w:sz="4" w:space="0" w:color="auto"/>
              <w:right w:val="single" w:sz="4" w:space="0" w:color="auto"/>
            </w:tcBorders>
            <w:noWrap/>
            <w:vAlign w:val="center"/>
          </w:tcPr>
          <w:p w14:paraId="015B88A2" w14:textId="77777777" w:rsidR="008169A4" w:rsidRPr="00592DAE" w:rsidRDefault="008169A4" w:rsidP="00341CE7">
            <w:pPr>
              <w:jc w:val="right"/>
              <w:rPr>
                <w:sz w:val="20"/>
                <w:szCs w:val="20"/>
                <w:lang w:val="sq-AL"/>
              </w:rPr>
            </w:pPr>
            <w:r w:rsidRPr="00592DAE">
              <w:rPr>
                <w:sz w:val="20"/>
                <w:szCs w:val="20"/>
                <w:lang w:val="sq-AL"/>
              </w:rPr>
              <w:t>2026</w:t>
            </w:r>
          </w:p>
        </w:tc>
        <w:tc>
          <w:tcPr>
            <w:tcW w:w="1080" w:type="dxa"/>
            <w:tcBorders>
              <w:top w:val="nil"/>
              <w:left w:val="nil"/>
              <w:bottom w:val="single" w:sz="4" w:space="0" w:color="auto"/>
              <w:right w:val="single" w:sz="4" w:space="0" w:color="auto"/>
            </w:tcBorders>
            <w:noWrap/>
            <w:vAlign w:val="center"/>
          </w:tcPr>
          <w:p w14:paraId="2F956C85" w14:textId="77777777" w:rsidR="008169A4" w:rsidRPr="00592DAE" w:rsidRDefault="008169A4" w:rsidP="00341CE7">
            <w:pPr>
              <w:jc w:val="right"/>
              <w:rPr>
                <w:sz w:val="20"/>
                <w:szCs w:val="20"/>
                <w:lang w:val="sq-AL"/>
              </w:rPr>
            </w:pPr>
            <w:r w:rsidRPr="00592DAE">
              <w:rPr>
                <w:sz w:val="20"/>
                <w:szCs w:val="20"/>
                <w:lang w:val="sq-AL"/>
              </w:rPr>
              <w:t>2030</w:t>
            </w:r>
          </w:p>
        </w:tc>
        <w:tc>
          <w:tcPr>
            <w:tcW w:w="1882" w:type="dxa"/>
            <w:tcBorders>
              <w:top w:val="nil"/>
              <w:left w:val="nil"/>
              <w:bottom w:val="single" w:sz="4" w:space="0" w:color="auto"/>
              <w:right w:val="single" w:sz="4" w:space="0" w:color="auto"/>
            </w:tcBorders>
          </w:tcPr>
          <w:p w14:paraId="1270F09A" w14:textId="77777777" w:rsidR="008169A4" w:rsidRPr="00592DAE" w:rsidRDefault="008169A4" w:rsidP="00341CE7">
            <w:pPr>
              <w:rPr>
                <w:sz w:val="20"/>
                <w:szCs w:val="20"/>
                <w:lang w:val="sq-AL"/>
              </w:rPr>
            </w:pPr>
            <w:r w:rsidRPr="00592DAE">
              <w:rPr>
                <w:sz w:val="20"/>
                <w:szCs w:val="20"/>
                <w:lang w:val="sq-AL"/>
              </w:rPr>
              <w:t>Bashkia/Donatore</w:t>
            </w:r>
          </w:p>
        </w:tc>
        <w:tc>
          <w:tcPr>
            <w:tcW w:w="1358" w:type="dxa"/>
            <w:tcBorders>
              <w:top w:val="nil"/>
              <w:left w:val="nil"/>
              <w:bottom w:val="single" w:sz="4" w:space="0" w:color="auto"/>
              <w:right w:val="single" w:sz="4" w:space="0" w:color="auto"/>
            </w:tcBorders>
          </w:tcPr>
          <w:p w14:paraId="11CB1176" w14:textId="77777777" w:rsidR="008169A4" w:rsidRPr="00592DAE" w:rsidRDefault="008169A4" w:rsidP="00341CE7">
            <w:pPr>
              <w:rPr>
                <w:sz w:val="20"/>
                <w:szCs w:val="20"/>
                <w:lang w:val="sq-AL"/>
              </w:rPr>
            </w:pPr>
            <w:r w:rsidRPr="00592DAE">
              <w:rPr>
                <w:sz w:val="20"/>
                <w:szCs w:val="20"/>
                <w:lang w:val="sq-AL"/>
              </w:rPr>
              <w:t>Sektori i NE</w:t>
            </w:r>
          </w:p>
        </w:tc>
        <w:tc>
          <w:tcPr>
            <w:tcW w:w="1348" w:type="dxa"/>
            <w:gridSpan w:val="2"/>
            <w:tcBorders>
              <w:top w:val="nil"/>
              <w:left w:val="nil"/>
              <w:bottom w:val="single" w:sz="4" w:space="0" w:color="auto"/>
              <w:right w:val="single" w:sz="8" w:space="0" w:color="auto"/>
            </w:tcBorders>
          </w:tcPr>
          <w:p w14:paraId="36699EF7" w14:textId="3A34C340" w:rsidR="008169A4" w:rsidRPr="00592DAE" w:rsidRDefault="00AF4E71" w:rsidP="00341CE7">
            <w:pPr>
              <w:rPr>
                <w:sz w:val="20"/>
                <w:szCs w:val="20"/>
                <w:lang w:val="sq-AL"/>
              </w:rPr>
            </w:pPr>
            <w:r>
              <w:rPr>
                <w:sz w:val="20"/>
                <w:szCs w:val="20"/>
              </w:rPr>
              <w:t>7</w:t>
            </w:r>
            <w:r w:rsidR="008169A4" w:rsidRPr="00592DAE">
              <w:rPr>
                <w:sz w:val="20"/>
                <w:szCs w:val="20"/>
              </w:rPr>
              <w:t>00,000 lekë</w:t>
            </w:r>
          </w:p>
        </w:tc>
        <w:tc>
          <w:tcPr>
            <w:tcW w:w="2918" w:type="dxa"/>
            <w:gridSpan w:val="2"/>
            <w:vAlign w:val="center"/>
            <w:hideMark/>
          </w:tcPr>
          <w:p w14:paraId="0D0449AE" w14:textId="77777777" w:rsidR="008169A4" w:rsidRPr="00592DAE" w:rsidRDefault="008169A4" w:rsidP="00341CE7">
            <w:pPr>
              <w:rPr>
                <w:sz w:val="20"/>
                <w:szCs w:val="20"/>
                <w:lang w:val="sq-AL"/>
              </w:rPr>
            </w:pPr>
          </w:p>
        </w:tc>
      </w:tr>
      <w:tr w:rsidR="008169A4" w:rsidRPr="00592DAE" w14:paraId="11E7A31D" w14:textId="77777777" w:rsidTr="00341CE7">
        <w:trPr>
          <w:trHeight w:val="2380"/>
        </w:trPr>
        <w:tc>
          <w:tcPr>
            <w:tcW w:w="1518" w:type="dxa"/>
            <w:vMerge/>
            <w:tcBorders>
              <w:top w:val="single" w:sz="8" w:space="0" w:color="auto"/>
              <w:left w:val="single" w:sz="8" w:space="0" w:color="auto"/>
              <w:bottom w:val="single" w:sz="8" w:space="0" w:color="000000"/>
              <w:right w:val="single" w:sz="4" w:space="0" w:color="auto"/>
            </w:tcBorders>
            <w:shd w:val="clear" w:color="auto" w:fill="F6DAE2" w:themeFill="accent6" w:themeFillTint="33"/>
            <w:vAlign w:val="center"/>
            <w:hideMark/>
          </w:tcPr>
          <w:p w14:paraId="136A8A89" w14:textId="77777777" w:rsidR="008169A4" w:rsidRPr="00592DAE" w:rsidRDefault="008169A4" w:rsidP="00341CE7">
            <w:pPr>
              <w:rPr>
                <w:b/>
                <w:bCs/>
                <w:i/>
                <w:iCs/>
                <w:sz w:val="20"/>
                <w:szCs w:val="20"/>
                <w:lang w:val="sq-AL"/>
              </w:rPr>
            </w:pPr>
          </w:p>
        </w:tc>
        <w:tc>
          <w:tcPr>
            <w:tcW w:w="3575" w:type="dxa"/>
            <w:tcBorders>
              <w:top w:val="nil"/>
              <w:left w:val="nil"/>
              <w:bottom w:val="single" w:sz="4" w:space="0" w:color="auto"/>
              <w:right w:val="single" w:sz="4" w:space="0" w:color="auto"/>
            </w:tcBorders>
          </w:tcPr>
          <w:p w14:paraId="79515AFF" w14:textId="77777777" w:rsidR="008169A4" w:rsidRPr="00592DAE" w:rsidRDefault="008169A4" w:rsidP="00341CE7">
            <w:pPr>
              <w:rPr>
                <w:sz w:val="20"/>
                <w:szCs w:val="20"/>
                <w:lang w:val="sq-AL"/>
              </w:rPr>
            </w:pPr>
            <w:r w:rsidRPr="00592DAE">
              <w:rPr>
                <w:sz w:val="20"/>
                <w:szCs w:val="20"/>
              </w:rPr>
              <w:t>3.4 Të promovohet qasja në strehim për gratë në nevojë.</w:t>
            </w:r>
          </w:p>
        </w:tc>
        <w:tc>
          <w:tcPr>
            <w:tcW w:w="3261" w:type="dxa"/>
            <w:tcBorders>
              <w:top w:val="nil"/>
              <w:left w:val="nil"/>
              <w:bottom w:val="single" w:sz="4" w:space="0" w:color="auto"/>
              <w:right w:val="single" w:sz="4" w:space="0" w:color="auto"/>
            </w:tcBorders>
          </w:tcPr>
          <w:p w14:paraId="411CCF70" w14:textId="77777777" w:rsidR="008169A4" w:rsidRPr="00592DAE" w:rsidRDefault="008169A4" w:rsidP="00341CE7">
            <w:pPr>
              <w:rPr>
                <w:sz w:val="20"/>
                <w:szCs w:val="20"/>
                <w:lang w:val="sq-AL"/>
              </w:rPr>
            </w:pPr>
            <w:r w:rsidRPr="00592DAE">
              <w:rPr>
                <w:sz w:val="20"/>
                <w:szCs w:val="20"/>
              </w:rPr>
              <w:t>- Nr. i përfituesve nga programet e strehimit</w:t>
            </w:r>
            <w:r w:rsidRPr="00592DAE">
              <w:rPr>
                <w:sz w:val="20"/>
                <w:szCs w:val="20"/>
              </w:rPr>
              <w:br/>
              <w:t>- Nr. i rasteve të trajtuara me prioritet</w:t>
            </w:r>
          </w:p>
        </w:tc>
        <w:tc>
          <w:tcPr>
            <w:tcW w:w="996" w:type="dxa"/>
            <w:tcBorders>
              <w:top w:val="nil"/>
              <w:left w:val="nil"/>
              <w:bottom w:val="single" w:sz="4" w:space="0" w:color="auto"/>
              <w:right w:val="single" w:sz="4" w:space="0" w:color="auto"/>
            </w:tcBorders>
            <w:noWrap/>
            <w:vAlign w:val="center"/>
          </w:tcPr>
          <w:p w14:paraId="094EDD9F" w14:textId="77777777" w:rsidR="008169A4" w:rsidRPr="00592DAE" w:rsidRDefault="008169A4" w:rsidP="00341CE7">
            <w:pPr>
              <w:jc w:val="right"/>
              <w:rPr>
                <w:sz w:val="20"/>
                <w:szCs w:val="20"/>
                <w:lang w:val="sq-AL"/>
              </w:rPr>
            </w:pPr>
            <w:r w:rsidRPr="00592DAE">
              <w:rPr>
                <w:sz w:val="20"/>
                <w:szCs w:val="20"/>
                <w:lang w:val="sq-AL"/>
              </w:rPr>
              <w:t>2026</w:t>
            </w:r>
          </w:p>
        </w:tc>
        <w:tc>
          <w:tcPr>
            <w:tcW w:w="1080" w:type="dxa"/>
            <w:tcBorders>
              <w:top w:val="nil"/>
              <w:left w:val="nil"/>
              <w:bottom w:val="single" w:sz="4" w:space="0" w:color="auto"/>
              <w:right w:val="single" w:sz="4" w:space="0" w:color="auto"/>
            </w:tcBorders>
            <w:noWrap/>
            <w:vAlign w:val="center"/>
          </w:tcPr>
          <w:p w14:paraId="3198DFC0" w14:textId="77777777" w:rsidR="008169A4" w:rsidRPr="00592DAE" w:rsidRDefault="008169A4" w:rsidP="00341CE7">
            <w:pPr>
              <w:jc w:val="right"/>
              <w:rPr>
                <w:sz w:val="20"/>
                <w:szCs w:val="20"/>
                <w:lang w:val="sq-AL"/>
              </w:rPr>
            </w:pPr>
            <w:r w:rsidRPr="00592DAE">
              <w:rPr>
                <w:sz w:val="20"/>
                <w:szCs w:val="20"/>
                <w:lang w:val="sq-AL"/>
              </w:rPr>
              <w:t>2030</w:t>
            </w:r>
          </w:p>
        </w:tc>
        <w:tc>
          <w:tcPr>
            <w:tcW w:w="1882" w:type="dxa"/>
            <w:tcBorders>
              <w:top w:val="nil"/>
              <w:left w:val="nil"/>
              <w:bottom w:val="single" w:sz="4" w:space="0" w:color="auto"/>
              <w:right w:val="single" w:sz="4" w:space="0" w:color="auto"/>
            </w:tcBorders>
          </w:tcPr>
          <w:p w14:paraId="50CC8B10" w14:textId="77777777" w:rsidR="008169A4" w:rsidRPr="00592DAE" w:rsidRDefault="008169A4" w:rsidP="00341CE7">
            <w:pPr>
              <w:rPr>
                <w:sz w:val="20"/>
                <w:szCs w:val="20"/>
                <w:lang w:val="sq-AL"/>
              </w:rPr>
            </w:pPr>
          </w:p>
        </w:tc>
        <w:tc>
          <w:tcPr>
            <w:tcW w:w="1358" w:type="dxa"/>
            <w:tcBorders>
              <w:top w:val="nil"/>
              <w:left w:val="nil"/>
              <w:bottom w:val="single" w:sz="4" w:space="0" w:color="auto"/>
              <w:right w:val="single" w:sz="4" w:space="0" w:color="auto"/>
            </w:tcBorders>
          </w:tcPr>
          <w:p w14:paraId="51FFB523" w14:textId="77777777" w:rsidR="008169A4" w:rsidRPr="00592DAE" w:rsidRDefault="008169A4" w:rsidP="00341CE7">
            <w:pPr>
              <w:rPr>
                <w:sz w:val="20"/>
                <w:szCs w:val="20"/>
                <w:lang w:val="sq-AL"/>
              </w:rPr>
            </w:pPr>
            <w:r w:rsidRPr="00592DAE">
              <w:rPr>
                <w:sz w:val="20"/>
                <w:szCs w:val="20"/>
                <w:lang w:val="sq-AL"/>
              </w:rPr>
              <w:t>i) Sektori i NE ii) Drejtoria e strehimit</w:t>
            </w:r>
            <w:r w:rsidR="008C3528">
              <w:rPr>
                <w:sz w:val="20"/>
                <w:szCs w:val="20"/>
                <w:lang w:val="sq-AL"/>
              </w:rPr>
              <w:t>/</w:t>
            </w:r>
            <w:r w:rsidR="008C3528" w:rsidRPr="00592DAE">
              <w:rPr>
                <w:sz w:val="20"/>
                <w:szCs w:val="20"/>
                <w:lang w:val="sq-AL"/>
              </w:rPr>
              <w:t xml:space="preserve"> DRSHSSH</w:t>
            </w:r>
          </w:p>
        </w:tc>
        <w:tc>
          <w:tcPr>
            <w:tcW w:w="1348" w:type="dxa"/>
            <w:gridSpan w:val="2"/>
            <w:tcBorders>
              <w:top w:val="nil"/>
              <w:left w:val="nil"/>
              <w:bottom w:val="single" w:sz="4" w:space="0" w:color="auto"/>
              <w:right w:val="single" w:sz="8" w:space="0" w:color="auto"/>
            </w:tcBorders>
          </w:tcPr>
          <w:p w14:paraId="59D4CEC3" w14:textId="74877ED9" w:rsidR="008169A4" w:rsidRPr="00592DAE" w:rsidRDefault="00AF4E71" w:rsidP="00341CE7">
            <w:pPr>
              <w:rPr>
                <w:sz w:val="20"/>
                <w:szCs w:val="20"/>
                <w:lang w:val="sq-AL"/>
              </w:rPr>
            </w:pPr>
            <w:r>
              <w:rPr>
                <w:sz w:val="20"/>
                <w:szCs w:val="20"/>
              </w:rPr>
              <w:t>8</w:t>
            </w:r>
            <w:r w:rsidR="008169A4" w:rsidRPr="00592DAE">
              <w:rPr>
                <w:sz w:val="20"/>
                <w:szCs w:val="20"/>
              </w:rPr>
              <w:t>00,000 lekë</w:t>
            </w:r>
          </w:p>
        </w:tc>
        <w:tc>
          <w:tcPr>
            <w:tcW w:w="2918" w:type="dxa"/>
            <w:gridSpan w:val="2"/>
            <w:vAlign w:val="center"/>
            <w:hideMark/>
          </w:tcPr>
          <w:p w14:paraId="540D00E1" w14:textId="77777777" w:rsidR="008169A4" w:rsidRPr="00592DAE" w:rsidRDefault="008169A4" w:rsidP="00341CE7">
            <w:pPr>
              <w:rPr>
                <w:sz w:val="20"/>
                <w:szCs w:val="20"/>
                <w:lang w:val="sq-AL"/>
              </w:rPr>
            </w:pPr>
          </w:p>
        </w:tc>
      </w:tr>
      <w:tr w:rsidR="008169A4" w:rsidRPr="00592DAE" w14:paraId="76BC0554" w14:textId="77777777" w:rsidTr="00341CE7">
        <w:trPr>
          <w:trHeight w:val="2085"/>
        </w:trPr>
        <w:tc>
          <w:tcPr>
            <w:tcW w:w="1518" w:type="dxa"/>
            <w:vMerge/>
            <w:tcBorders>
              <w:top w:val="single" w:sz="8" w:space="0" w:color="auto"/>
              <w:left w:val="single" w:sz="8" w:space="0" w:color="auto"/>
              <w:bottom w:val="single" w:sz="8" w:space="0" w:color="000000"/>
              <w:right w:val="single" w:sz="4" w:space="0" w:color="auto"/>
            </w:tcBorders>
            <w:shd w:val="clear" w:color="auto" w:fill="F6DAE2" w:themeFill="accent6" w:themeFillTint="33"/>
            <w:vAlign w:val="center"/>
            <w:hideMark/>
          </w:tcPr>
          <w:p w14:paraId="7E694E2C" w14:textId="77777777" w:rsidR="008169A4" w:rsidRPr="00592DAE" w:rsidRDefault="008169A4" w:rsidP="00341CE7">
            <w:pPr>
              <w:rPr>
                <w:b/>
                <w:bCs/>
                <w:i/>
                <w:iCs/>
                <w:sz w:val="20"/>
                <w:szCs w:val="20"/>
                <w:lang w:val="sq-AL"/>
              </w:rPr>
            </w:pPr>
          </w:p>
        </w:tc>
        <w:tc>
          <w:tcPr>
            <w:tcW w:w="3575" w:type="dxa"/>
            <w:tcBorders>
              <w:top w:val="nil"/>
              <w:left w:val="nil"/>
              <w:bottom w:val="single" w:sz="4" w:space="0" w:color="auto"/>
              <w:right w:val="single" w:sz="4" w:space="0" w:color="auto"/>
            </w:tcBorders>
          </w:tcPr>
          <w:p w14:paraId="28E8E87E" w14:textId="77777777" w:rsidR="008169A4" w:rsidRPr="00592DAE" w:rsidRDefault="008169A4" w:rsidP="00341CE7">
            <w:pPr>
              <w:rPr>
                <w:sz w:val="20"/>
                <w:szCs w:val="20"/>
                <w:lang w:val="sq-AL"/>
              </w:rPr>
            </w:pPr>
            <w:r w:rsidRPr="00592DAE">
              <w:rPr>
                <w:sz w:val="20"/>
                <w:szCs w:val="20"/>
              </w:rPr>
              <w:t>3.5 Të promovohet qasja në sport, art dhe kulturë për vajzat dhe djemtë.</w:t>
            </w:r>
          </w:p>
        </w:tc>
        <w:tc>
          <w:tcPr>
            <w:tcW w:w="3261" w:type="dxa"/>
            <w:tcBorders>
              <w:top w:val="nil"/>
              <w:left w:val="nil"/>
              <w:bottom w:val="single" w:sz="4" w:space="0" w:color="auto"/>
              <w:right w:val="single" w:sz="4" w:space="0" w:color="auto"/>
            </w:tcBorders>
          </w:tcPr>
          <w:p w14:paraId="0A2C0304" w14:textId="77777777" w:rsidR="008169A4" w:rsidRPr="00592DAE" w:rsidRDefault="008169A4" w:rsidP="00341CE7">
            <w:pPr>
              <w:rPr>
                <w:sz w:val="20"/>
                <w:szCs w:val="20"/>
                <w:lang w:val="sq-AL"/>
              </w:rPr>
            </w:pPr>
            <w:r w:rsidRPr="00592DAE">
              <w:rPr>
                <w:sz w:val="20"/>
                <w:szCs w:val="20"/>
              </w:rPr>
              <w:t>Nr. i aktiviteteve sportive/kulturore gjithëpërfshirëse</w:t>
            </w:r>
            <w:r w:rsidRPr="00592DAE">
              <w:rPr>
                <w:sz w:val="20"/>
                <w:szCs w:val="20"/>
              </w:rPr>
              <w:br/>
              <w:t xml:space="preserve"> % e pjesëmarrjes së vajzave</w:t>
            </w:r>
          </w:p>
        </w:tc>
        <w:tc>
          <w:tcPr>
            <w:tcW w:w="996" w:type="dxa"/>
            <w:tcBorders>
              <w:top w:val="nil"/>
              <w:left w:val="nil"/>
              <w:bottom w:val="single" w:sz="4" w:space="0" w:color="auto"/>
              <w:right w:val="single" w:sz="4" w:space="0" w:color="auto"/>
            </w:tcBorders>
            <w:noWrap/>
            <w:vAlign w:val="center"/>
          </w:tcPr>
          <w:p w14:paraId="557C70BE" w14:textId="77777777" w:rsidR="008169A4" w:rsidRPr="00592DAE" w:rsidRDefault="008169A4" w:rsidP="00341CE7">
            <w:pPr>
              <w:jc w:val="right"/>
              <w:rPr>
                <w:sz w:val="20"/>
                <w:szCs w:val="20"/>
                <w:lang w:val="sq-AL"/>
              </w:rPr>
            </w:pPr>
            <w:r w:rsidRPr="00592DAE">
              <w:rPr>
                <w:sz w:val="20"/>
                <w:szCs w:val="20"/>
                <w:lang w:val="sq-AL"/>
              </w:rPr>
              <w:t>2026</w:t>
            </w:r>
          </w:p>
        </w:tc>
        <w:tc>
          <w:tcPr>
            <w:tcW w:w="1080" w:type="dxa"/>
            <w:tcBorders>
              <w:top w:val="nil"/>
              <w:left w:val="nil"/>
              <w:bottom w:val="single" w:sz="4" w:space="0" w:color="auto"/>
              <w:right w:val="single" w:sz="4" w:space="0" w:color="auto"/>
            </w:tcBorders>
            <w:noWrap/>
            <w:vAlign w:val="center"/>
          </w:tcPr>
          <w:p w14:paraId="21FDFD05" w14:textId="77777777" w:rsidR="008169A4" w:rsidRPr="00592DAE" w:rsidRDefault="008169A4" w:rsidP="00341CE7">
            <w:pPr>
              <w:jc w:val="right"/>
              <w:rPr>
                <w:sz w:val="20"/>
                <w:szCs w:val="20"/>
                <w:lang w:val="sq-AL"/>
              </w:rPr>
            </w:pPr>
            <w:r w:rsidRPr="00592DAE">
              <w:rPr>
                <w:sz w:val="20"/>
                <w:szCs w:val="20"/>
                <w:lang w:val="sq-AL"/>
              </w:rPr>
              <w:t>2030</w:t>
            </w:r>
          </w:p>
        </w:tc>
        <w:tc>
          <w:tcPr>
            <w:tcW w:w="1882" w:type="dxa"/>
            <w:tcBorders>
              <w:top w:val="nil"/>
              <w:left w:val="nil"/>
              <w:bottom w:val="single" w:sz="4" w:space="0" w:color="auto"/>
              <w:right w:val="single" w:sz="4" w:space="0" w:color="auto"/>
            </w:tcBorders>
          </w:tcPr>
          <w:p w14:paraId="27E0740C" w14:textId="77777777" w:rsidR="008169A4" w:rsidRDefault="008169A4" w:rsidP="00341CE7">
            <w:pPr>
              <w:rPr>
                <w:sz w:val="20"/>
                <w:szCs w:val="20"/>
                <w:lang w:val="sq-AL"/>
              </w:rPr>
            </w:pPr>
            <w:r w:rsidRPr="00592DAE">
              <w:rPr>
                <w:sz w:val="20"/>
                <w:szCs w:val="20"/>
                <w:lang w:val="sq-AL"/>
              </w:rPr>
              <w:t>Bashkia/Donatore/</w:t>
            </w:r>
          </w:p>
          <w:p w14:paraId="68D0B1EB" w14:textId="77777777" w:rsidR="008169A4" w:rsidRDefault="008169A4" w:rsidP="00341CE7">
            <w:pPr>
              <w:rPr>
                <w:sz w:val="20"/>
                <w:szCs w:val="20"/>
                <w:lang w:val="sq-AL"/>
              </w:rPr>
            </w:pPr>
          </w:p>
          <w:p w14:paraId="2946821A" w14:textId="77777777" w:rsidR="008169A4" w:rsidRDefault="008169A4" w:rsidP="00341CE7">
            <w:pPr>
              <w:rPr>
                <w:sz w:val="20"/>
                <w:szCs w:val="20"/>
                <w:lang w:val="sq-AL"/>
              </w:rPr>
            </w:pPr>
          </w:p>
          <w:p w14:paraId="10F9F158" w14:textId="77777777" w:rsidR="008169A4" w:rsidRPr="00592DAE" w:rsidRDefault="008169A4" w:rsidP="00341CE7">
            <w:pPr>
              <w:rPr>
                <w:sz w:val="20"/>
                <w:szCs w:val="20"/>
                <w:lang w:val="sq-AL"/>
              </w:rPr>
            </w:pPr>
          </w:p>
        </w:tc>
        <w:tc>
          <w:tcPr>
            <w:tcW w:w="1358" w:type="dxa"/>
            <w:tcBorders>
              <w:top w:val="nil"/>
              <w:left w:val="nil"/>
              <w:bottom w:val="single" w:sz="4" w:space="0" w:color="auto"/>
              <w:right w:val="single" w:sz="4" w:space="0" w:color="auto"/>
            </w:tcBorders>
          </w:tcPr>
          <w:p w14:paraId="5FAC84E6" w14:textId="77777777" w:rsidR="008169A4" w:rsidRPr="00592DAE" w:rsidRDefault="008169A4" w:rsidP="00341CE7">
            <w:pPr>
              <w:rPr>
                <w:sz w:val="20"/>
                <w:szCs w:val="20"/>
                <w:lang w:val="sq-AL"/>
              </w:rPr>
            </w:pPr>
            <w:r w:rsidRPr="00592DAE">
              <w:rPr>
                <w:sz w:val="20"/>
                <w:szCs w:val="20"/>
                <w:lang w:val="sq-AL"/>
              </w:rPr>
              <w:t>Sektori i NE</w:t>
            </w:r>
          </w:p>
        </w:tc>
        <w:tc>
          <w:tcPr>
            <w:tcW w:w="1348" w:type="dxa"/>
            <w:gridSpan w:val="2"/>
            <w:tcBorders>
              <w:top w:val="nil"/>
              <w:left w:val="nil"/>
              <w:bottom w:val="single" w:sz="4" w:space="0" w:color="auto"/>
              <w:right w:val="single" w:sz="8" w:space="0" w:color="auto"/>
            </w:tcBorders>
          </w:tcPr>
          <w:p w14:paraId="787353C7" w14:textId="43E2F3D8" w:rsidR="008169A4" w:rsidRPr="00592DAE" w:rsidRDefault="008C3528" w:rsidP="00341CE7">
            <w:pPr>
              <w:rPr>
                <w:sz w:val="20"/>
                <w:szCs w:val="20"/>
                <w:lang w:val="sq-AL"/>
              </w:rPr>
            </w:pPr>
            <w:r>
              <w:rPr>
                <w:sz w:val="20"/>
                <w:szCs w:val="20"/>
              </w:rPr>
              <w:t>1</w:t>
            </w:r>
            <w:r w:rsidR="008169A4" w:rsidRPr="00592DAE">
              <w:rPr>
                <w:sz w:val="20"/>
                <w:szCs w:val="20"/>
              </w:rPr>
              <w:t>,</w:t>
            </w:r>
            <w:r w:rsidR="00AF4E71">
              <w:rPr>
                <w:sz w:val="20"/>
                <w:szCs w:val="20"/>
              </w:rPr>
              <w:t>0</w:t>
            </w:r>
            <w:r w:rsidR="008169A4" w:rsidRPr="00592DAE">
              <w:rPr>
                <w:sz w:val="20"/>
                <w:szCs w:val="20"/>
              </w:rPr>
              <w:t>00,000 lekë</w:t>
            </w:r>
          </w:p>
        </w:tc>
        <w:tc>
          <w:tcPr>
            <w:tcW w:w="2918" w:type="dxa"/>
            <w:gridSpan w:val="2"/>
            <w:vAlign w:val="center"/>
            <w:hideMark/>
          </w:tcPr>
          <w:p w14:paraId="7B61EC88" w14:textId="77777777" w:rsidR="008169A4" w:rsidRPr="00592DAE" w:rsidRDefault="008169A4" w:rsidP="00341CE7">
            <w:pPr>
              <w:rPr>
                <w:sz w:val="20"/>
                <w:szCs w:val="20"/>
                <w:lang w:val="sq-AL"/>
              </w:rPr>
            </w:pPr>
          </w:p>
        </w:tc>
      </w:tr>
      <w:tr w:rsidR="008169A4" w:rsidRPr="00592DAE" w14:paraId="5E1F2995" w14:textId="77777777" w:rsidTr="00341CE7">
        <w:trPr>
          <w:trHeight w:val="1905"/>
        </w:trPr>
        <w:tc>
          <w:tcPr>
            <w:tcW w:w="1518" w:type="dxa"/>
            <w:vMerge/>
            <w:tcBorders>
              <w:top w:val="single" w:sz="8" w:space="0" w:color="auto"/>
              <w:left w:val="single" w:sz="8" w:space="0" w:color="auto"/>
              <w:bottom w:val="single" w:sz="8" w:space="0" w:color="000000"/>
              <w:right w:val="single" w:sz="4" w:space="0" w:color="auto"/>
            </w:tcBorders>
            <w:shd w:val="clear" w:color="auto" w:fill="F6DAE2" w:themeFill="accent6" w:themeFillTint="33"/>
            <w:vAlign w:val="center"/>
            <w:hideMark/>
          </w:tcPr>
          <w:p w14:paraId="26256552" w14:textId="77777777" w:rsidR="008169A4" w:rsidRPr="00592DAE" w:rsidRDefault="008169A4" w:rsidP="00341CE7">
            <w:pPr>
              <w:rPr>
                <w:b/>
                <w:bCs/>
                <w:i/>
                <w:iCs/>
                <w:sz w:val="20"/>
                <w:szCs w:val="20"/>
                <w:lang w:val="sq-AL"/>
              </w:rPr>
            </w:pPr>
          </w:p>
        </w:tc>
        <w:tc>
          <w:tcPr>
            <w:tcW w:w="3575" w:type="dxa"/>
            <w:tcBorders>
              <w:top w:val="nil"/>
              <w:left w:val="nil"/>
              <w:bottom w:val="single" w:sz="8" w:space="0" w:color="auto"/>
              <w:right w:val="single" w:sz="4" w:space="0" w:color="auto"/>
            </w:tcBorders>
          </w:tcPr>
          <w:p w14:paraId="03ACD3BC" w14:textId="77777777" w:rsidR="008169A4" w:rsidRPr="00592DAE" w:rsidRDefault="008169A4" w:rsidP="00341CE7">
            <w:pPr>
              <w:rPr>
                <w:sz w:val="20"/>
                <w:szCs w:val="20"/>
                <w:lang w:val="sq-AL"/>
              </w:rPr>
            </w:pPr>
            <w:r w:rsidRPr="00592DAE">
              <w:rPr>
                <w:sz w:val="20"/>
                <w:szCs w:val="20"/>
              </w:rPr>
              <w:t>3.6 Të rritet efektiviteti i shërbimeve për viktimat e dhunës dhe trafikimit.</w:t>
            </w:r>
          </w:p>
        </w:tc>
        <w:tc>
          <w:tcPr>
            <w:tcW w:w="3261" w:type="dxa"/>
            <w:tcBorders>
              <w:top w:val="nil"/>
              <w:left w:val="nil"/>
              <w:bottom w:val="single" w:sz="8" w:space="0" w:color="auto"/>
              <w:right w:val="single" w:sz="4" w:space="0" w:color="auto"/>
            </w:tcBorders>
          </w:tcPr>
          <w:p w14:paraId="184377B7" w14:textId="77777777" w:rsidR="008169A4" w:rsidRPr="00592DAE" w:rsidRDefault="008169A4" w:rsidP="00341CE7">
            <w:pPr>
              <w:rPr>
                <w:sz w:val="20"/>
                <w:szCs w:val="20"/>
              </w:rPr>
            </w:pPr>
            <w:r w:rsidRPr="00592DAE">
              <w:rPr>
                <w:sz w:val="20"/>
                <w:szCs w:val="20"/>
              </w:rPr>
              <w:t>Nr. i viktimave që marrin ndihmë</w:t>
            </w:r>
          </w:p>
          <w:p w14:paraId="6F546598" w14:textId="77777777" w:rsidR="008169A4" w:rsidRPr="00592DAE" w:rsidRDefault="008169A4" w:rsidP="00341CE7">
            <w:pPr>
              <w:rPr>
                <w:sz w:val="20"/>
                <w:szCs w:val="20"/>
                <w:lang w:val="sq-AL"/>
              </w:rPr>
            </w:pPr>
            <w:r w:rsidRPr="00592DAE">
              <w:rPr>
                <w:sz w:val="20"/>
                <w:szCs w:val="20"/>
              </w:rPr>
              <w:t xml:space="preserve"> Funksionimi i mekanizmit të referimit</w:t>
            </w:r>
          </w:p>
        </w:tc>
        <w:tc>
          <w:tcPr>
            <w:tcW w:w="996" w:type="dxa"/>
            <w:tcBorders>
              <w:top w:val="nil"/>
              <w:left w:val="nil"/>
              <w:bottom w:val="single" w:sz="8" w:space="0" w:color="auto"/>
              <w:right w:val="single" w:sz="4" w:space="0" w:color="auto"/>
            </w:tcBorders>
            <w:noWrap/>
            <w:vAlign w:val="center"/>
          </w:tcPr>
          <w:p w14:paraId="13CA6851" w14:textId="77777777" w:rsidR="008169A4" w:rsidRPr="00592DAE" w:rsidRDefault="008169A4" w:rsidP="00341CE7">
            <w:pPr>
              <w:jc w:val="right"/>
              <w:rPr>
                <w:sz w:val="20"/>
                <w:szCs w:val="20"/>
                <w:lang w:val="sq-AL"/>
              </w:rPr>
            </w:pPr>
            <w:r w:rsidRPr="00592DAE">
              <w:rPr>
                <w:sz w:val="20"/>
                <w:szCs w:val="20"/>
                <w:lang w:val="sq-AL"/>
              </w:rPr>
              <w:t>2026</w:t>
            </w:r>
          </w:p>
        </w:tc>
        <w:tc>
          <w:tcPr>
            <w:tcW w:w="1080" w:type="dxa"/>
            <w:tcBorders>
              <w:top w:val="nil"/>
              <w:left w:val="nil"/>
              <w:bottom w:val="single" w:sz="8" w:space="0" w:color="auto"/>
              <w:right w:val="single" w:sz="4" w:space="0" w:color="auto"/>
            </w:tcBorders>
            <w:noWrap/>
            <w:vAlign w:val="center"/>
          </w:tcPr>
          <w:p w14:paraId="571094B6" w14:textId="77777777" w:rsidR="008169A4" w:rsidRPr="00592DAE" w:rsidRDefault="008169A4" w:rsidP="00341CE7">
            <w:pPr>
              <w:jc w:val="right"/>
              <w:rPr>
                <w:sz w:val="20"/>
                <w:szCs w:val="20"/>
                <w:lang w:val="sq-AL"/>
              </w:rPr>
            </w:pPr>
            <w:r w:rsidRPr="00592DAE">
              <w:rPr>
                <w:sz w:val="20"/>
                <w:szCs w:val="20"/>
                <w:lang w:val="sq-AL"/>
              </w:rPr>
              <w:t>2030</w:t>
            </w:r>
          </w:p>
        </w:tc>
        <w:tc>
          <w:tcPr>
            <w:tcW w:w="1882" w:type="dxa"/>
            <w:tcBorders>
              <w:top w:val="nil"/>
              <w:left w:val="nil"/>
              <w:bottom w:val="single" w:sz="8" w:space="0" w:color="auto"/>
              <w:right w:val="single" w:sz="4" w:space="0" w:color="auto"/>
            </w:tcBorders>
          </w:tcPr>
          <w:p w14:paraId="3225E72E" w14:textId="77777777" w:rsidR="008169A4" w:rsidRPr="00592DAE" w:rsidRDefault="008169A4" w:rsidP="00341CE7">
            <w:pPr>
              <w:rPr>
                <w:sz w:val="20"/>
                <w:szCs w:val="20"/>
                <w:lang w:val="sq-AL"/>
              </w:rPr>
            </w:pPr>
            <w:r w:rsidRPr="00592DAE">
              <w:rPr>
                <w:sz w:val="20"/>
                <w:szCs w:val="20"/>
                <w:lang w:val="sq-AL"/>
              </w:rPr>
              <w:t>Bashkia/Donatore</w:t>
            </w:r>
          </w:p>
        </w:tc>
        <w:tc>
          <w:tcPr>
            <w:tcW w:w="1358" w:type="dxa"/>
            <w:tcBorders>
              <w:top w:val="nil"/>
              <w:left w:val="nil"/>
              <w:bottom w:val="single" w:sz="8" w:space="0" w:color="auto"/>
              <w:right w:val="single" w:sz="4" w:space="0" w:color="auto"/>
            </w:tcBorders>
          </w:tcPr>
          <w:p w14:paraId="73229A1D" w14:textId="77777777" w:rsidR="008169A4" w:rsidRPr="00592DAE" w:rsidRDefault="008169A4" w:rsidP="00341CE7">
            <w:pPr>
              <w:rPr>
                <w:sz w:val="20"/>
                <w:szCs w:val="20"/>
                <w:lang w:val="sq-AL"/>
              </w:rPr>
            </w:pPr>
            <w:r w:rsidRPr="00592DAE">
              <w:rPr>
                <w:sz w:val="20"/>
                <w:szCs w:val="20"/>
                <w:lang w:val="sq-AL"/>
              </w:rPr>
              <w:t>Sektori i NE</w:t>
            </w:r>
            <w:r w:rsidR="008C3528">
              <w:rPr>
                <w:sz w:val="20"/>
                <w:szCs w:val="20"/>
                <w:lang w:val="sq-AL"/>
              </w:rPr>
              <w:t>/</w:t>
            </w:r>
            <w:r w:rsidR="008C3528" w:rsidRPr="00592DAE">
              <w:rPr>
                <w:sz w:val="20"/>
                <w:szCs w:val="20"/>
                <w:lang w:val="sq-AL"/>
              </w:rPr>
              <w:t xml:space="preserve"> DRSHSSH</w:t>
            </w:r>
          </w:p>
        </w:tc>
        <w:tc>
          <w:tcPr>
            <w:tcW w:w="1348" w:type="dxa"/>
            <w:gridSpan w:val="2"/>
            <w:tcBorders>
              <w:top w:val="nil"/>
              <w:left w:val="nil"/>
              <w:bottom w:val="single" w:sz="8" w:space="0" w:color="auto"/>
              <w:right w:val="single" w:sz="8" w:space="0" w:color="auto"/>
            </w:tcBorders>
          </w:tcPr>
          <w:p w14:paraId="117F328A" w14:textId="1F33E2B0" w:rsidR="008169A4" w:rsidRPr="00592DAE" w:rsidRDefault="00AF4E71" w:rsidP="00341CE7">
            <w:pPr>
              <w:jc w:val="center"/>
              <w:rPr>
                <w:sz w:val="20"/>
                <w:szCs w:val="20"/>
                <w:lang w:val="sq-AL"/>
              </w:rPr>
            </w:pPr>
            <w:r>
              <w:rPr>
                <w:sz w:val="20"/>
                <w:szCs w:val="20"/>
              </w:rPr>
              <w:t>9</w:t>
            </w:r>
            <w:r w:rsidR="008169A4" w:rsidRPr="00592DAE">
              <w:rPr>
                <w:sz w:val="20"/>
                <w:szCs w:val="20"/>
              </w:rPr>
              <w:t>00,000 lekë</w:t>
            </w:r>
          </w:p>
        </w:tc>
        <w:tc>
          <w:tcPr>
            <w:tcW w:w="2918" w:type="dxa"/>
            <w:gridSpan w:val="2"/>
            <w:vAlign w:val="center"/>
            <w:hideMark/>
          </w:tcPr>
          <w:p w14:paraId="57C2901A" w14:textId="77777777" w:rsidR="008169A4" w:rsidRPr="00592DAE" w:rsidRDefault="008169A4" w:rsidP="00341CE7">
            <w:pPr>
              <w:rPr>
                <w:sz w:val="20"/>
                <w:szCs w:val="20"/>
                <w:lang w:val="sq-AL"/>
              </w:rPr>
            </w:pPr>
          </w:p>
        </w:tc>
      </w:tr>
      <w:tr w:rsidR="008169A4" w:rsidRPr="00592DAE" w14:paraId="33AEE83E" w14:textId="77777777" w:rsidTr="00341CE7">
        <w:trPr>
          <w:trHeight w:val="1770"/>
        </w:trPr>
        <w:tc>
          <w:tcPr>
            <w:tcW w:w="1518" w:type="dxa"/>
            <w:tcBorders>
              <w:top w:val="nil"/>
              <w:left w:val="single" w:sz="8" w:space="0" w:color="auto"/>
              <w:bottom w:val="single" w:sz="4" w:space="0" w:color="auto"/>
              <w:right w:val="single" w:sz="4" w:space="0" w:color="auto"/>
            </w:tcBorders>
            <w:shd w:val="clear" w:color="auto" w:fill="F6DAE2" w:themeFill="accent6" w:themeFillTint="33"/>
          </w:tcPr>
          <w:p w14:paraId="6C8B27CC" w14:textId="77777777" w:rsidR="008169A4" w:rsidRPr="00592DAE" w:rsidRDefault="008169A4" w:rsidP="00341CE7">
            <w:pPr>
              <w:rPr>
                <w:b/>
                <w:bCs/>
                <w:sz w:val="20"/>
                <w:szCs w:val="20"/>
                <w:lang w:val="sq-AL"/>
              </w:rPr>
            </w:pPr>
            <w:r w:rsidRPr="00592DAE">
              <w:rPr>
                <w:sz w:val="20"/>
                <w:szCs w:val="20"/>
              </w:rPr>
              <w:lastRenderedPageBreak/>
              <w:t>Reflektimi i parimeve të planifikimit dhe zhvillimit të qëndrueshëm, përmes integrimit të balancuar të përmasave ekonomike, shoqërore, urbanistike e mjedisore.</w:t>
            </w:r>
          </w:p>
        </w:tc>
        <w:tc>
          <w:tcPr>
            <w:tcW w:w="3575" w:type="dxa"/>
            <w:tcBorders>
              <w:top w:val="nil"/>
              <w:left w:val="nil"/>
              <w:bottom w:val="single" w:sz="4" w:space="0" w:color="auto"/>
              <w:right w:val="single" w:sz="4" w:space="0" w:color="auto"/>
            </w:tcBorders>
          </w:tcPr>
          <w:p w14:paraId="3182A1D0" w14:textId="77777777" w:rsidR="008169A4" w:rsidRPr="00592DAE" w:rsidRDefault="008169A4" w:rsidP="00341CE7">
            <w:pPr>
              <w:jc w:val="center"/>
              <w:rPr>
                <w:sz w:val="20"/>
                <w:szCs w:val="20"/>
                <w:lang w:val="sq-AL"/>
              </w:rPr>
            </w:pPr>
            <w:r w:rsidRPr="00592DAE">
              <w:rPr>
                <w:sz w:val="20"/>
                <w:szCs w:val="20"/>
              </w:rPr>
              <w:t>4.1 Të ndërmerren veprime për barazi në zhvillim ekonomik dhe punësim.</w:t>
            </w:r>
          </w:p>
        </w:tc>
        <w:tc>
          <w:tcPr>
            <w:tcW w:w="3261" w:type="dxa"/>
            <w:tcBorders>
              <w:top w:val="nil"/>
              <w:left w:val="nil"/>
              <w:bottom w:val="single" w:sz="4" w:space="0" w:color="auto"/>
              <w:right w:val="single" w:sz="4" w:space="0" w:color="auto"/>
            </w:tcBorders>
          </w:tcPr>
          <w:p w14:paraId="7B868732" w14:textId="77777777" w:rsidR="008169A4" w:rsidRPr="00592DAE" w:rsidRDefault="008169A4" w:rsidP="00341CE7">
            <w:pPr>
              <w:rPr>
                <w:sz w:val="20"/>
                <w:szCs w:val="20"/>
              </w:rPr>
            </w:pPr>
            <w:r w:rsidRPr="00592DAE">
              <w:rPr>
                <w:sz w:val="20"/>
                <w:szCs w:val="20"/>
              </w:rPr>
              <w:t xml:space="preserve"> Nr. i grave të punësuara përmes programeve vendore</w:t>
            </w:r>
          </w:p>
          <w:p w14:paraId="72FD72CF" w14:textId="77777777" w:rsidR="008169A4" w:rsidRPr="00592DAE" w:rsidRDefault="008169A4" w:rsidP="00341CE7">
            <w:pPr>
              <w:rPr>
                <w:sz w:val="20"/>
                <w:szCs w:val="20"/>
              </w:rPr>
            </w:pPr>
          </w:p>
          <w:p w14:paraId="002A73E7" w14:textId="77777777" w:rsidR="008169A4" w:rsidRPr="00592DAE" w:rsidRDefault="008169A4" w:rsidP="00341CE7">
            <w:pPr>
              <w:rPr>
                <w:sz w:val="20"/>
                <w:szCs w:val="20"/>
                <w:lang w:val="sq-AL"/>
              </w:rPr>
            </w:pPr>
            <w:r w:rsidRPr="00592DAE">
              <w:rPr>
                <w:sz w:val="20"/>
                <w:szCs w:val="20"/>
              </w:rPr>
              <w:t>% e përfshirjes në kurse profesionale</w:t>
            </w:r>
          </w:p>
        </w:tc>
        <w:tc>
          <w:tcPr>
            <w:tcW w:w="996" w:type="dxa"/>
            <w:tcBorders>
              <w:top w:val="nil"/>
              <w:left w:val="nil"/>
              <w:bottom w:val="single" w:sz="4" w:space="0" w:color="auto"/>
              <w:right w:val="single" w:sz="4" w:space="0" w:color="auto"/>
            </w:tcBorders>
            <w:vAlign w:val="center"/>
          </w:tcPr>
          <w:p w14:paraId="77AD0C67" w14:textId="77777777" w:rsidR="008169A4" w:rsidRPr="00592DAE" w:rsidRDefault="008169A4" w:rsidP="00341CE7">
            <w:pPr>
              <w:jc w:val="right"/>
              <w:rPr>
                <w:sz w:val="20"/>
                <w:szCs w:val="20"/>
                <w:lang w:val="sq-AL"/>
              </w:rPr>
            </w:pPr>
            <w:r w:rsidRPr="00592DAE">
              <w:rPr>
                <w:sz w:val="20"/>
                <w:szCs w:val="20"/>
                <w:lang w:val="sq-AL"/>
              </w:rPr>
              <w:t>2026</w:t>
            </w:r>
          </w:p>
        </w:tc>
        <w:tc>
          <w:tcPr>
            <w:tcW w:w="1080" w:type="dxa"/>
            <w:tcBorders>
              <w:top w:val="nil"/>
              <w:left w:val="nil"/>
              <w:bottom w:val="single" w:sz="4" w:space="0" w:color="auto"/>
              <w:right w:val="single" w:sz="4" w:space="0" w:color="auto"/>
            </w:tcBorders>
            <w:vAlign w:val="center"/>
          </w:tcPr>
          <w:p w14:paraId="44C1C10F" w14:textId="77777777" w:rsidR="008169A4" w:rsidRPr="00592DAE" w:rsidRDefault="008169A4" w:rsidP="00341CE7">
            <w:pPr>
              <w:jc w:val="right"/>
              <w:rPr>
                <w:sz w:val="20"/>
                <w:szCs w:val="20"/>
                <w:lang w:val="sq-AL"/>
              </w:rPr>
            </w:pPr>
            <w:r w:rsidRPr="00592DAE">
              <w:rPr>
                <w:sz w:val="20"/>
                <w:szCs w:val="20"/>
                <w:lang w:val="sq-AL"/>
              </w:rPr>
              <w:t>2030</w:t>
            </w:r>
          </w:p>
        </w:tc>
        <w:tc>
          <w:tcPr>
            <w:tcW w:w="1882" w:type="dxa"/>
            <w:tcBorders>
              <w:top w:val="nil"/>
              <w:left w:val="nil"/>
              <w:bottom w:val="single" w:sz="4" w:space="0" w:color="auto"/>
              <w:right w:val="single" w:sz="4" w:space="0" w:color="auto"/>
            </w:tcBorders>
          </w:tcPr>
          <w:p w14:paraId="5818250E" w14:textId="77777777" w:rsidR="008169A4" w:rsidRPr="00592DAE" w:rsidRDefault="008169A4" w:rsidP="00341CE7">
            <w:pPr>
              <w:rPr>
                <w:sz w:val="20"/>
                <w:szCs w:val="20"/>
                <w:lang w:val="sq-AL"/>
              </w:rPr>
            </w:pPr>
          </w:p>
        </w:tc>
        <w:tc>
          <w:tcPr>
            <w:tcW w:w="1358" w:type="dxa"/>
            <w:tcBorders>
              <w:top w:val="nil"/>
              <w:left w:val="nil"/>
              <w:bottom w:val="single" w:sz="4" w:space="0" w:color="auto"/>
              <w:right w:val="single" w:sz="4" w:space="0" w:color="auto"/>
            </w:tcBorders>
          </w:tcPr>
          <w:p w14:paraId="3152644D" w14:textId="77777777" w:rsidR="008169A4" w:rsidRPr="00592DAE" w:rsidRDefault="008169A4" w:rsidP="00341CE7">
            <w:pPr>
              <w:rPr>
                <w:sz w:val="20"/>
                <w:szCs w:val="20"/>
                <w:lang w:val="sq-AL"/>
              </w:rPr>
            </w:pPr>
            <w:r w:rsidRPr="00592DAE">
              <w:rPr>
                <w:sz w:val="20"/>
                <w:szCs w:val="20"/>
                <w:lang w:val="sq-AL"/>
              </w:rPr>
              <w:t>Sektori i NE</w:t>
            </w:r>
            <w:r w:rsidR="008C3528">
              <w:rPr>
                <w:sz w:val="20"/>
                <w:szCs w:val="20"/>
                <w:lang w:val="sq-AL"/>
              </w:rPr>
              <w:t>/</w:t>
            </w:r>
            <w:r w:rsidR="008C3528" w:rsidRPr="00592DAE">
              <w:rPr>
                <w:sz w:val="20"/>
                <w:szCs w:val="20"/>
                <w:lang w:val="sq-AL"/>
              </w:rPr>
              <w:t xml:space="preserve"> DRSHSSH</w:t>
            </w:r>
          </w:p>
        </w:tc>
        <w:tc>
          <w:tcPr>
            <w:tcW w:w="1348" w:type="dxa"/>
            <w:gridSpan w:val="2"/>
            <w:tcBorders>
              <w:top w:val="nil"/>
              <w:left w:val="nil"/>
              <w:bottom w:val="single" w:sz="4" w:space="0" w:color="auto"/>
              <w:right w:val="single" w:sz="8" w:space="0" w:color="auto"/>
            </w:tcBorders>
          </w:tcPr>
          <w:p w14:paraId="40DEAC20" w14:textId="3579D659" w:rsidR="008169A4" w:rsidRPr="00592DAE" w:rsidRDefault="00AF4E71" w:rsidP="00341CE7">
            <w:pPr>
              <w:rPr>
                <w:sz w:val="20"/>
                <w:szCs w:val="20"/>
                <w:lang w:val="sq-AL"/>
              </w:rPr>
            </w:pPr>
            <w:r>
              <w:rPr>
                <w:sz w:val="20"/>
                <w:szCs w:val="20"/>
              </w:rPr>
              <w:t>7</w:t>
            </w:r>
            <w:r w:rsidR="008169A4" w:rsidRPr="00592DAE">
              <w:rPr>
                <w:sz w:val="20"/>
                <w:szCs w:val="20"/>
              </w:rPr>
              <w:t>00,000 lekë</w:t>
            </w:r>
          </w:p>
        </w:tc>
        <w:tc>
          <w:tcPr>
            <w:tcW w:w="2918" w:type="dxa"/>
            <w:gridSpan w:val="2"/>
            <w:vAlign w:val="center"/>
            <w:hideMark/>
          </w:tcPr>
          <w:p w14:paraId="397E0C69" w14:textId="77777777" w:rsidR="008169A4" w:rsidRPr="00592DAE" w:rsidRDefault="008169A4" w:rsidP="00341CE7">
            <w:pPr>
              <w:rPr>
                <w:sz w:val="20"/>
                <w:szCs w:val="20"/>
                <w:lang w:val="sq-AL"/>
              </w:rPr>
            </w:pPr>
          </w:p>
        </w:tc>
      </w:tr>
      <w:tr w:rsidR="008169A4" w:rsidRPr="00592DAE" w14:paraId="2ECFEB11" w14:textId="77777777" w:rsidTr="00341CE7">
        <w:trPr>
          <w:trHeight w:val="2760"/>
        </w:trPr>
        <w:tc>
          <w:tcPr>
            <w:tcW w:w="1518" w:type="dxa"/>
            <w:tcBorders>
              <w:top w:val="nil"/>
              <w:left w:val="single" w:sz="8" w:space="0" w:color="auto"/>
              <w:bottom w:val="single" w:sz="4" w:space="0" w:color="auto"/>
              <w:right w:val="single" w:sz="4" w:space="0" w:color="auto"/>
            </w:tcBorders>
            <w:shd w:val="clear" w:color="auto" w:fill="F6DAE2" w:themeFill="accent6" w:themeFillTint="33"/>
          </w:tcPr>
          <w:p w14:paraId="58107308" w14:textId="77777777" w:rsidR="008169A4" w:rsidRPr="00592DAE" w:rsidRDefault="008169A4" w:rsidP="00341CE7">
            <w:pPr>
              <w:rPr>
                <w:b/>
                <w:bCs/>
                <w:iCs/>
                <w:sz w:val="20"/>
                <w:szCs w:val="20"/>
                <w:lang w:val="sq-AL"/>
              </w:rPr>
            </w:pPr>
          </w:p>
        </w:tc>
        <w:tc>
          <w:tcPr>
            <w:tcW w:w="3575" w:type="dxa"/>
            <w:tcBorders>
              <w:top w:val="nil"/>
              <w:left w:val="nil"/>
              <w:bottom w:val="single" w:sz="4" w:space="0" w:color="auto"/>
              <w:right w:val="single" w:sz="4" w:space="0" w:color="auto"/>
            </w:tcBorders>
          </w:tcPr>
          <w:p w14:paraId="0A19D1F3" w14:textId="77777777" w:rsidR="008169A4" w:rsidRPr="008C3528" w:rsidRDefault="008169A4" w:rsidP="008C3528">
            <w:pPr>
              <w:pStyle w:val="ListParagraph"/>
              <w:numPr>
                <w:ilvl w:val="1"/>
                <w:numId w:val="7"/>
              </w:numPr>
              <w:rPr>
                <w:sz w:val="20"/>
                <w:szCs w:val="20"/>
              </w:rPr>
            </w:pPr>
            <w:r w:rsidRPr="008C3528">
              <w:rPr>
                <w:sz w:val="20"/>
                <w:szCs w:val="20"/>
              </w:rPr>
              <w:t>Të përfshihet perspektiva gjinore në planifikimin urban dhe mjedisor.</w:t>
            </w:r>
          </w:p>
          <w:p w14:paraId="1B981B2A" w14:textId="77777777" w:rsidR="008C3528" w:rsidRDefault="008C3528" w:rsidP="008C3528">
            <w:pPr>
              <w:ind w:left="360"/>
              <w:rPr>
                <w:sz w:val="20"/>
                <w:szCs w:val="20"/>
                <w:lang w:val="sq-AL"/>
              </w:rPr>
            </w:pPr>
          </w:p>
          <w:p w14:paraId="3556E377" w14:textId="77777777" w:rsidR="008C3528" w:rsidRDefault="008C3528" w:rsidP="008C3528">
            <w:pPr>
              <w:ind w:left="360"/>
              <w:rPr>
                <w:sz w:val="20"/>
                <w:szCs w:val="20"/>
                <w:lang w:val="sq-AL"/>
              </w:rPr>
            </w:pPr>
          </w:p>
          <w:p w14:paraId="61611176" w14:textId="77777777" w:rsidR="008C3528" w:rsidRDefault="008C3528" w:rsidP="008C3528">
            <w:pPr>
              <w:ind w:left="360"/>
              <w:rPr>
                <w:sz w:val="20"/>
                <w:szCs w:val="20"/>
                <w:lang w:val="sq-AL"/>
              </w:rPr>
            </w:pPr>
          </w:p>
          <w:p w14:paraId="63E7D5C6" w14:textId="77777777" w:rsidR="008C3528" w:rsidRDefault="008C3528" w:rsidP="008C3528">
            <w:pPr>
              <w:ind w:left="360"/>
              <w:rPr>
                <w:sz w:val="20"/>
                <w:szCs w:val="20"/>
                <w:lang w:val="sq-AL"/>
              </w:rPr>
            </w:pPr>
          </w:p>
          <w:p w14:paraId="5000FB13" w14:textId="77777777" w:rsidR="008C3528" w:rsidRDefault="008C3528" w:rsidP="008C3528">
            <w:pPr>
              <w:ind w:left="360"/>
              <w:rPr>
                <w:sz w:val="20"/>
                <w:szCs w:val="20"/>
                <w:lang w:val="sq-AL"/>
              </w:rPr>
            </w:pPr>
          </w:p>
          <w:p w14:paraId="50ACE231" w14:textId="77777777" w:rsidR="008C3528" w:rsidRDefault="008C3528" w:rsidP="008C3528">
            <w:pPr>
              <w:ind w:left="360"/>
              <w:rPr>
                <w:sz w:val="20"/>
                <w:szCs w:val="20"/>
                <w:lang w:val="sq-AL"/>
              </w:rPr>
            </w:pPr>
          </w:p>
          <w:p w14:paraId="136E46EC" w14:textId="77777777" w:rsidR="008C3528" w:rsidRDefault="008C3528" w:rsidP="008C3528">
            <w:pPr>
              <w:ind w:left="360"/>
              <w:rPr>
                <w:sz w:val="20"/>
                <w:szCs w:val="20"/>
                <w:lang w:val="sq-AL"/>
              </w:rPr>
            </w:pPr>
          </w:p>
          <w:p w14:paraId="08A38C67" w14:textId="77777777" w:rsidR="008C3528" w:rsidRPr="008C3528" w:rsidRDefault="008C3528" w:rsidP="008C3528">
            <w:pPr>
              <w:ind w:left="360"/>
              <w:rPr>
                <w:sz w:val="20"/>
                <w:szCs w:val="20"/>
                <w:lang w:val="sq-AL"/>
              </w:rPr>
            </w:pPr>
            <w:r>
              <w:rPr>
                <w:sz w:val="20"/>
                <w:szCs w:val="20"/>
                <w:lang w:val="sq-AL"/>
              </w:rPr>
              <w:t>Zbatimi i Planit të Aktiviteteve vjetore</w:t>
            </w:r>
          </w:p>
        </w:tc>
        <w:tc>
          <w:tcPr>
            <w:tcW w:w="3261" w:type="dxa"/>
            <w:tcBorders>
              <w:top w:val="nil"/>
              <w:left w:val="nil"/>
              <w:bottom w:val="single" w:sz="4" w:space="0" w:color="auto"/>
              <w:right w:val="single" w:sz="4" w:space="0" w:color="auto"/>
            </w:tcBorders>
          </w:tcPr>
          <w:p w14:paraId="054DF588" w14:textId="77777777" w:rsidR="008169A4" w:rsidRPr="00592DAE" w:rsidRDefault="008169A4" w:rsidP="00341CE7">
            <w:pPr>
              <w:rPr>
                <w:sz w:val="20"/>
                <w:szCs w:val="20"/>
              </w:rPr>
            </w:pPr>
            <w:r w:rsidRPr="00592DAE">
              <w:rPr>
                <w:sz w:val="20"/>
                <w:szCs w:val="20"/>
              </w:rPr>
              <w:t>- Nr. i planeve me analizë gjinore</w:t>
            </w:r>
          </w:p>
          <w:p w14:paraId="1AD11908" w14:textId="77777777" w:rsidR="008169A4" w:rsidRPr="00592DAE" w:rsidRDefault="008169A4" w:rsidP="00341CE7">
            <w:pPr>
              <w:rPr>
                <w:sz w:val="20"/>
                <w:szCs w:val="20"/>
                <w:lang w:val="sq-AL"/>
              </w:rPr>
            </w:pPr>
            <w:r w:rsidRPr="00592DAE">
              <w:rPr>
                <w:sz w:val="20"/>
                <w:szCs w:val="20"/>
              </w:rPr>
              <w:t>- % e projekteve që reflektojnë nevojat gjinore</w:t>
            </w:r>
          </w:p>
        </w:tc>
        <w:tc>
          <w:tcPr>
            <w:tcW w:w="996" w:type="dxa"/>
            <w:tcBorders>
              <w:top w:val="nil"/>
              <w:left w:val="nil"/>
              <w:bottom w:val="single" w:sz="4" w:space="0" w:color="auto"/>
              <w:right w:val="single" w:sz="4" w:space="0" w:color="auto"/>
            </w:tcBorders>
            <w:vAlign w:val="center"/>
          </w:tcPr>
          <w:p w14:paraId="62BA0B57" w14:textId="77777777" w:rsidR="008169A4" w:rsidRPr="00592DAE" w:rsidRDefault="008169A4" w:rsidP="00341CE7">
            <w:pPr>
              <w:jc w:val="right"/>
              <w:rPr>
                <w:sz w:val="20"/>
                <w:szCs w:val="20"/>
                <w:lang w:val="sq-AL"/>
              </w:rPr>
            </w:pPr>
            <w:r w:rsidRPr="00592DAE">
              <w:rPr>
                <w:sz w:val="20"/>
                <w:szCs w:val="20"/>
                <w:lang w:val="sq-AL"/>
              </w:rPr>
              <w:t>2026</w:t>
            </w:r>
          </w:p>
        </w:tc>
        <w:tc>
          <w:tcPr>
            <w:tcW w:w="1080" w:type="dxa"/>
            <w:tcBorders>
              <w:top w:val="nil"/>
              <w:left w:val="nil"/>
              <w:bottom w:val="single" w:sz="4" w:space="0" w:color="auto"/>
              <w:right w:val="single" w:sz="4" w:space="0" w:color="auto"/>
            </w:tcBorders>
            <w:vAlign w:val="center"/>
          </w:tcPr>
          <w:p w14:paraId="1651F4BB" w14:textId="77777777" w:rsidR="008169A4" w:rsidRPr="00592DAE" w:rsidRDefault="008169A4" w:rsidP="00341CE7">
            <w:pPr>
              <w:jc w:val="right"/>
              <w:rPr>
                <w:sz w:val="20"/>
                <w:szCs w:val="20"/>
                <w:lang w:val="sq-AL"/>
              </w:rPr>
            </w:pPr>
            <w:r w:rsidRPr="00592DAE">
              <w:rPr>
                <w:sz w:val="20"/>
                <w:szCs w:val="20"/>
                <w:lang w:val="sq-AL"/>
              </w:rPr>
              <w:t>2030</w:t>
            </w:r>
          </w:p>
        </w:tc>
        <w:tc>
          <w:tcPr>
            <w:tcW w:w="1882" w:type="dxa"/>
            <w:tcBorders>
              <w:top w:val="nil"/>
              <w:left w:val="nil"/>
              <w:bottom w:val="single" w:sz="4" w:space="0" w:color="auto"/>
              <w:right w:val="single" w:sz="4" w:space="0" w:color="auto"/>
            </w:tcBorders>
          </w:tcPr>
          <w:p w14:paraId="61266187" w14:textId="77777777" w:rsidR="008169A4" w:rsidRDefault="008169A4" w:rsidP="00341CE7">
            <w:pPr>
              <w:rPr>
                <w:sz w:val="20"/>
                <w:szCs w:val="20"/>
                <w:lang w:val="sq-AL"/>
              </w:rPr>
            </w:pPr>
            <w:r w:rsidRPr="00592DAE">
              <w:rPr>
                <w:sz w:val="20"/>
                <w:szCs w:val="20"/>
                <w:lang w:val="sq-AL"/>
              </w:rPr>
              <w:t>Bashkia/Donatore</w:t>
            </w:r>
          </w:p>
          <w:p w14:paraId="18786FB5" w14:textId="77777777" w:rsidR="008169A4" w:rsidRPr="00592DAE" w:rsidRDefault="008169A4" w:rsidP="00341CE7">
            <w:pPr>
              <w:rPr>
                <w:sz w:val="20"/>
                <w:szCs w:val="20"/>
                <w:lang w:val="sq-AL"/>
              </w:rPr>
            </w:pPr>
          </w:p>
        </w:tc>
        <w:tc>
          <w:tcPr>
            <w:tcW w:w="1358" w:type="dxa"/>
            <w:tcBorders>
              <w:top w:val="nil"/>
              <w:left w:val="nil"/>
              <w:bottom w:val="single" w:sz="4" w:space="0" w:color="auto"/>
              <w:right w:val="single" w:sz="4" w:space="0" w:color="auto"/>
            </w:tcBorders>
          </w:tcPr>
          <w:p w14:paraId="5F62294D" w14:textId="77777777" w:rsidR="008169A4" w:rsidRPr="00592DAE" w:rsidRDefault="008169A4" w:rsidP="00341CE7">
            <w:pPr>
              <w:rPr>
                <w:sz w:val="20"/>
                <w:szCs w:val="20"/>
                <w:lang w:val="sq-AL"/>
              </w:rPr>
            </w:pPr>
            <w:r w:rsidRPr="00592DAE">
              <w:rPr>
                <w:sz w:val="20"/>
                <w:szCs w:val="20"/>
                <w:lang w:val="sq-AL"/>
              </w:rPr>
              <w:t>Sektori i NE</w:t>
            </w:r>
            <w:r w:rsidR="008C3528">
              <w:rPr>
                <w:sz w:val="20"/>
                <w:szCs w:val="20"/>
                <w:lang w:val="sq-AL"/>
              </w:rPr>
              <w:t>/</w:t>
            </w:r>
            <w:r w:rsidR="008C3528" w:rsidRPr="00592DAE">
              <w:rPr>
                <w:sz w:val="20"/>
                <w:szCs w:val="20"/>
                <w:lang w:val="sq-AL"/>
              </w:rPr>
              <w:t xml:space="preserve"> DRSHSSH</w:t>
            </w:r>
          </w:p>
        </w:tc>
        <w:tc>
          <w:tcPr>
            <w:tcW w:w="1348" w:type="dxa"/>
            <w:gridSpan w:val="2"/>
            <w:tcBorders>
              <w:top w:val="nil"/>
              <w:left w:val="nil"/>
              <w:bottom w:val="single" w:sz="4" w:space="0" w:color="auto"/>
              <w:right w:val="single" w:sz="8" w:space="0" w:color="auto"/>
            </w:tcBorders>
            <w:vAlign w:val="center"/>
          </w:tcPr>
          <w:p w14:paraId="53D751CD" w14:textId="6D27C4A4" w:rsidR="008169A4" w:rsidRPr="00592DAE" w:rsidRDefault="00AF4E71" w:rsidP="00341CE7">
            <w:pPr>
              <w:rPr>
                <w:sz w:val="20"/>
                <w:szCs w:val="20"/>
                <w:lang w:val="sq-AL"/>
              </w:rPr>
            </w:pPr>
            <w:r>
              <w:rPr>
                <w:sz w:val="20"/>
                <w:szCs w:val="20"/>
                <w:lang w:val="sq-AL"/>
              </w:rPr>
              <w:t>3</w:t>
            </w:r>
            <w:r w:rsidR="008C3528">
              <w:rPr>
                <w:sz w:val="20"/>
                <w:szCs w:val="20"/>
                <w:lang w:val="sq-AL"/>
              </w:rPr>
              <w:t>00 000 lekë</w:t>
            </w:r>
          </w:p>
        </w:tc>
        <w:tc>
          <w:tcPr>
            <w:tcW w:w="2918" w:type="dxa"/>
            <w:gridSpan w:val="2"/>
            <w:vAlign w:val="center"/>
            <w:hideMark/>
          </w:tcPr>
          <w:p w14:paraId="066A15B8" w14:textId="77777777" w:rsidR="008169A4" w:rsidRPr="00592DAE" w:rsidRDefault="008169A4" w:rsidP="00341CE7">
            <w:pPr>
              <w:rPr>
                <w:sz w:val="20"/>
                <w:szCs w:val="20"/>
                <w:lang w:val="sq-AL"/>
              </w:rPr>
            </w:pPr>
          </w:p>
        </w:tc>
      </w:tr>
    </w:tbl>
    <w:p w14:paraId="7979BFFE" w14:textId="77777777" w:rsidR="008169A4" w:rsidRDefault="008169A4" w:rsidP="008169A4"/>
    <w:p w14:paraId="4EC764CA" w14:textId="77777777" w:rsidR="008169A4" w:rsidRDefault="008169A4" w:rsidP="005039BB">
      <w:pPr>
        <w:spacing w:after="200" w:line="276" w:lineRule="auto"/>
        <w:jc w:val="both"/>
        <w:rPr>
          <w:rFonts w:eastAsia="Calibri"/>
          <w:bCs/>
          <w:lang w:val="sq-AL"/>
        </w:rPr>
      </w:pPr>
    </w:p>
    <w:p w14:paraId="52727A6A" w14:textId="54D163FC" w:rsidR="0009200C" w:rsidRDefault="0009200C" w:rsidP="0009200C">
      <w:pPr>
        <w:spacing w:after="200" w:line="276" w:lineRule="auto"/>
        <w:jc w:val="both"/>
        <w:rPr>
          <w:rFonts w:eastAsia="Calibri"/>
          <w:bCs/>
          <w:lang w:val="sq-AL"/>
        </w:rPr>
      </w:pPr>
      <w:r w:rsidRPr="0009200C">
        <w:rPr>
          <w:rFonts w:cstheme="minorHAnsi"/>
        </w:rPr>
        <w:t xml:space="preserve">Kostot e parashikuara në këtë dokument janë indikative dhe të përgjithshme. Përllogaritja e detajuar e kostove sipas aktivitetit, vitit të zbatimit dhe burimeve të financimit do të kryhet në një fazë të mëvonshme, në bashkëpunim me drejtoritë përkatëse dhe në përputhje me mundësitë buxhetore të Bashkisë </w:t>
      </w:r>
      <w:r w:rsidR="00B93F9F">
        <w:rPr>
          <w:rFonts w:cstheme="minorHAnsi"/>
        </w:rPr>
        <w:t>Puke</w:t>
      </w:r>
      <w:r w:rsidRPr="0009200C">
        <w:rPr>
          <w:rFonts w:cstheme="minorHAnsi"/>
        </w:rPr>
        <w:t xml:space="preserve"> dhe partnerëve të tjerë të përfshirë.</w:t>
      </w:r>
    </w:p>
    <w:p w14:paraId="0CCF16F8" w14:textId="77777777" w:rsidR="008169A4" w:rsidRDefault="008169A4" w:rsidP="005039BB">
      <w:pPr>
        <w:spacing w:after="200" w:line="276" w:lineRule="auto"/>
        <w:jc w:val="both"/>
        <w:rPr>
          <w:rFonts w:eastAsia="Calibri"/>
          <w:bCs/>
          <w:lang w:val="sq-AL"/>
        </w:rPr>
      </w:pPr>
    </w:p>
    <w:p w14:paraId="7FB0CF21" w14:textId="77777777" w:rsidR="008169A4" w:rsidRDefault="008169A4" w:rsidP="005039BB">
      <w:pPr>
        <w:spacing w:after="200" w:line="276" w:lineRule="auto"/>
        <w:jc w:val="both"/>
        <w:rPr>
          <w:rFonts w:eastAsia="Calibri"/>
          <w:bCs/>
          <w:lang w:val="sq-AL"/>
        </w:rPr>
      </w:pPr>
    </w:p>
    <w:p w14:paraId="3D07172E" w14:textId="77777777" w:rsidR="008169A4" w:rsidRDefault="008169A4" w:rsidP="005039BB">
      <w:pPr>
        <w:spacing w:after="200" w:line="276" w:lineRule="auto"/>
        <w:jc w:val="both"/>
        <w:rPr>
          <w:rFonts w:eastAsia="Calibri"/>
          <w:bCs/>
          <w:lang w:val="sq-AL"/>
        </w:rPr>
      </w:pPr>
    </w:p>
    <w:p w14:paraId="541112A8" w14:textId="77777777" w:rsidR="008169A4" w:rsidRDefault="008169A4" w:rsidP="005039BB">
      <w:pPr>
        <w:spacing w:after="200" w:line="276" w:lineRule="auto"/>
        <w:jc w:val="both"/>
        <w:rPr>
          <w:rFonts w:eastAsia="Calibri"/>
          <w:bCs/>
          <w:lang w:val="sq-AL"/>
        </w:rPr>
      </w:pPr>
    </w:p>
    <w:p w14:paraId="2E0593CB" w14:textId="77777777" w:rsidR="008169A4" w:rsidRDefault="008169A4" w:rsidP="005039BB">
      <w:pPr>
        <w:spacing w:after="200" w:line="276" w:lineRule="auto"/>
        <w:jc w:val="both"/>
        <w:rPr>
          <w:rFonts w:eastAsia="Calibri"/>
          <w:bCs/>
          <w:lang w:val="sq-AL"/>
        </w:rPr>
      </w:pPr>
    </w:p>
    <w:p w14:paraId="2703A7A4" w14:textId="77777777" w:rsidR="008169A4" w:rsidRDefault="008169A4" w:rsidP="005039BB">
      <w:pPr>
        <w:spacing w:after="200" w:line="276" w:lineRule="auto"/>
        <w:jc w:val="both"/>
        <w:rPr>
          <w:rFonts w:eastAsia="Calibri"/>
          <w:bCs/>
          <w:lang w:val="sq-AL"/>
        </w:rPr>
        <w:sectPr w:rsidR="008169A4" w:rsidSect="008169A4">
          <w:pgSz w:w="16838" w:h="11906" w:orient="landscape"/>
          <w:pgMar w:top="1440" w:right="1440" w:bottom="1440" w:left="1440" w:header="708" w:footer="708" w:gutter="0"/>
          <w:cols w:space="708"/>
          <w:docGrid w:linePitch="360"/>
        </w:sectPr>
      </w:pPr>
    </w:p>
    <w:p w14:paraId="524310B3" w14:textId="77777777" w:rsidR="00527317" w:rsidRPr="008D30DB" w:rsidRDefault="00527317" w:rsidP="008D30DB">
      <w:pPr>
        <w:pStyle w:val="Heading1"/>
        <w:rPr>
          <w:rFonts w:ascii="Times New Roman" w:hAnsi="Times New Roman" w:cs="Times New Roman"/>
        </w:rPr>
      </w:pPr>
    </w:p>
    <w:p w14:paraId="71E47FDC" w14:textId="77777777" w:rsidR="00842DB6" w:rsidRDefault="008D30DB" w:rsidP="008D30DB">
      <w:pPr>
        <w:pStyle w:val="Heading1"/>
        <w:rPr>
          <w:rFonts w:ascii="Times New Roman" w:hAnsi="Times New Roman" w:cs="Times New Roman"/>
          <w:color w:val="auto"/>
          <w:sz w:val="24"/>
          <w:szCs w:val="24"/>
        </w:rPr>
      </w:pPr>
      <w:bookmarkStart w:id="17" w:name="_Toc499035937"/>
      <w:bookmarkStart w:id="18" w:name="_Toc204608640"/>
      <w:r w:rsidRPr="008D30DB">
        <w:rPr>
          <w:rFonts w:ascii="Times New Roman" w:hAnsi="Times New Roman" w:cs="Times New Roman"/>
          <w:color w:val="auto"/>
          <w:sz w:val="24"/>
          <w:szCs w:val="24"/>
        </w:rPr>
        <w:t xml:space="preserve">VI </w:t>
      </w:r>
      <w:r w:rsidR="00842DB6" w:rsidRPr="008D30DB">
        <w:rPr>
          <w:rFonts w:ascii="Times New Roman" w:hAnsi="Times New Roman" w:cs="Times New Roman"/>
          <w:color w:val="auto"/>
          <w:sz w:val="24"/>
          <w:szCs w:val="24"/>
        </w:rPr>
        <w:t>. RAPORTIMI DHE MONITORIMI</w:t>
      </w:r>
      <w:bookmarkEnd w:id="17"/>
      <w:bookmarkEnd w:id="18"/>
      <w:r w:rsidR="00842DB6" w:rsidRPr="008D30DB">
        <w:rPr>
          <w:rFonts w:ascii="Times New Roman" w:hAnsi="Times New Roman" w:cs="Times New Roman"/>
          <w:color w:val="auto"/>
          <w:sz w:val="24"/>
          <w:szCs w:val="24"/>
        </w:rPr>
        <w:t xml:space="preserve"> </w:t>
      </w:r>
    </w:p>
    <w:p w14:paraId="660A1D25" w14:textId="77777777" w:rsidR="00D8623A" w:rsidRPr="00D8623A" w:rsidRDefault="00D8623A" w:rsidP="00D8623A"/>
    <w:p w14:paraId="2D0D08F5" w14:textId="77777777" w:rsidR="00D8623A" w:rsidRDefault="00842DB6" w:rsidP="00842DB6">
      <w:pPr>
        <w:jc w:val="both"/>
      </w:pPr>
      <w:r w:rsidRPr="00536419">
        <w:rPr>
          <w:b/>
          <w:i/>
        </w:rPr>
        <w:t>Procesi i raportimit</w:t>
      </w:r>
      <w:r>
        <w:t xml:space="preserve"> për aktivitetet e zbatuara do të kryhet nga drejtoritë përgjegjëse për zbatimin e këtyre aktiviteteve tek </w:t>
      </w:r>
      <w:r w:rsidRPr="00377028">
        <w:rPr>
          <w:b/>
          <w:i/>
        </w:rPr>
        <w:t>Komisioni Planifikues dhe Vendim-marr</w:t>
      </w:r>
      <w:r>
        <w:rPr>
          <w:b/>
          <w:i/>
        </w:rPr>
        <w:t>ë</w:t>
      </w:r>
      <w:r w:rsidRPr="00377028">
        <w:rPr>
          <w:b/>
          <w:i/>
        </w:rPr>
        <w:t>s p</w:t>
      </w:r>
      <w:r>
        <w:rPr>
          <w:b/>
          <w:i/>
        </w:rPr>
        <w:t>ë</w:t>
      </w:r>
      <w:r w:rsidRPr="00377028">
        <w:rPr>
          <w:b/>
          <w:i/>
        </w:rPr>
        <w:t>r Barazin</w:t>
      </w:r>
      <w:r>
        <w:rPr>
          <w:b/>
          <w:i/>
        </w:rPr>
        <w:t>ë</w:t>
      </w:r>
      <w:r w:rsidRPr="00377028">
        <w:rPr>
          <w:b/>
          <w:i/>
        </w:rPr>
        <w:t xml:space="preserve"> Gjinore</w:t>
      </w:r>
      <w:r>
        <w:t xml:space="preserve">, i cili do të ngrihet me Urdhër të Kryetarit pikërisht për këtë qëllim (në nivel Bashkie). </w:t>
      </w:r>
    </w:p>
    <w:p w14:paraId="681D63C9" w14:textId="77777777" w:rsidR="00D8623A" w:rsidRDefault="00D8623A" w:rsidP="00842DB6">
      <w:pPr>
        <w:jc w:val="both"/>
      </w:pPr>
    </w:p>
    <w:p w14:paraId="4A8A0C7B" w14:textId="77777777" w:rsidR="00842DB6" w:rsidRDefault="00842DB6" w:rsidP="00842DB6">
      <w:pPr>
        <w:jc w:val="both"/>
      </w:pPr>
      <w:r>
        <w:t>Menjëherë pas miratimit të Planit, si hap i parë i zbatimit të tij, çdo drejtori përgjegjëse do të hartojë</w:t>
      </w:r>
      <w:r w:rsidRPr="00F76751">
        <w:t xml:space="preserve"> </w:t>
      </w:r>
      <w:r>
        <w:t xml:space="preserve">fletët e treguesve me informacionin që duhet të mblidhet dhe raportohet në bazë aktiviteti, por edhe në bazë të objektivave specifike. </w:t>
      </w:r>
      <w:r w:rsidRPr="00536419">
        <w:rPr>
          <w:b/>
          <w:i/>
        </w:rPr>
        <w:t>Raportimet mbi akivitetet</w:t>
      </w:r>
      <w:r>
        <w:t xml:space="preserve"> do të jenë </w:t>
      </w:r>
      <w:r>
        <w:rPr>
          <w:b/>
          <w:i/>
        </w:rPr>
        <w:t>periodike (ç</w:t>
      </w:r>
      <w:r w:rsidRPr="00536419">
        <w:rPr>
          <w:b/>
          <w:i/>
        </w:rPr>
        <w:t>do 3 muaj)</w:t>
      </w:r>
      <w:r>
        <w:t xml:space="preserve"> ose në bazë të kërkesës së </w:t>
      </w:r>
      <w:r w:rsidRPr="00377028">
        <w:rPr>
          <w:b/>
          <w:i/>
        </w:rPr>
        <w:t>Komisioni</w:t>
      </w:r>
      <w:r>
        <w:rPr>
          <w:b/>
          <w:i/>
        </w:rPr>
        <w:t>t</w:t>
      </w:r>
      <w:r w:rsidRPr="00377028">
        <w:rPr>
          <w:b/>
          <w:i/>
        </w:rPr>
        <w:t xml:space="preserve"> Planifikues dhe Vendim-marr</w:t>
      </w:r>
      <w:r>
        <w:rPr>
          <w:b/>
          <w:i/>
        </w:rPr>
        <w:t>ë</w:t>
      </w:r>
      <w:r w:rsidRPr="00377028">
        <w:rPr>
          <w:b/>
          <w:i/>
        </w:rPr>
        <w:t>s p</w:t>
      </w:r>
      <w:r>
        <w:rPr>
          <w:b/>
          <w:i/>
        </w:rPr>
        <w:t>ë</w:t>
      </w:r>
      <w:r w:rsidRPr="00377028">
        <w:rPr>
          <w:b/>
          <w:i/>
        </w:rPr>
        <w:t>r Barazin</w:t>
      </w:r>
      <w:r>
        <w:rPr>
          <w:b/>
          <w:i/>
        </w:rPr>
        <w:t>ë</w:t>
      </w:r>
      <w:r w:rsidRPr="00377028">
        <w:rPr>
          <w:b/>
          <w:i/>
        </w:rPr>
        <w:t xml:space="preserve"> Gjinore</w:t>
      </w:r>
      <w:r>
        <w:t xml:space="preserve"> apo Kabinetit të Kryetarit. </w:t>
      </w:r>
      <w:r w:rsidRPr="00536419">
        <w:rPr>
          <w:b/>
        </w:rPr>
        <w:t>Raportimet në bazë të objektivave specifikë</w:t>
      </w:r>
      <w:r>
        <w:t xml:space="preserve"> do të përgatiten </w:t>
      </w:r>
      <w:r w:rsidRPr="00536419">
        <w:rPr>
          <w:b/>
          <w:i/>
        </w:rPr>
        <w:t>dy herë në</w:t>
      </w:r>
      <w:r>
        <w:rPr>
          <w:b/>
          <w:i/>
        </w:rPr>
        <w:t xml:space="preserve"> vit (çdo</w:t>
      </w:r>
      <w:r w:rsidRPr="00536419">
        <w:rPr>
          <w:b/>
          <w:i/>
        </w:rPr>
        <w:t xml:space="preserve"> 6 muaj)</w:t>
      </w:r>
      <w:r>
        <w:t xml:space="preserve">. </w:t>
      </w:r>
    </w:p>
    <w:p w14:paraId="2D0DAB31" w14:textId="77777777" w:rsidR="00842DB6" w:rsidRDefault="00842DB6" w:rsidP="00842DB6">
      <w:pPr>
        <w:jc w:val="both"/>
      </w:pPr>
    </w:p>
    <w:p w14:paraId="006D4ED9" w14:textId="77777777" w:rsidR="00842DB6" w:rsidRDefault="00842DB6" w:rsidP="0009200C">
      <w:pPr>
        <w:jc w:val="both"/>
      </w:pPr>
      <w:r w:rsidRPr="00536419">
        <w:rPr>
          <w:b/>
          <w:i/>
        </w:rPr>
        <w:t xml:space="preserve">Monitorimi </w:t>
      </w:r>
      <w:r w:rsidRPr="00536419">
        <w:t>i zbatimit të Planit të Veprimit</w:t>
      </w:r>
      <w:r>
        <w:t xml:space="preserve"> </w:t>
      </w:r>
      <w:r w:rsidRPr="00536419">
        <w:rPr>
          <w:b/>
          <w:i/>
          <w:u w:val="single"/>
        </w:rPr>
        <w:t>në nivel të objektivave</w:t>
      </w:r>
      <w:r>
        <w:t xml:space="preserve"> do të kryhet nga një </w:t>
      </w:r>
      <w:r w:rsidRPr="00536419">
        <w:rPr>
          <w:b/>
          <w:i/>
        </w:rPr>
        <w:t>Komision në nivel të Këshillit Bashkiak</w:t>
      </w:r>
      <w:r>
        <w:t xml:space="preserve">, të cilit do t’i atashohen edhe përgjegjësitë për çështjet e barazisë gjinore. </w:t>
      </w:r>
    </w:p>
    <w:p w14:paraId="7C76785A" w14:textId="77777777" w:rsidR="00842DB6" w:rsidRDefault="00842DB6" w:rsidP="00842DB6">
      <w:pPr>
        <w:jc w:val="both"/>
      </w:pPr>
    </w:p>
    <w:p w14:paraId="67F40443" w14:textId="77777777" w:rsidR="00842DB6" w:rsidRPr="00536419" w:rsidRDefault="00842DB6" w:rsidP="00842DB6">
      <w:pPr>
        <w:jc w:val="both"/>
        <w:rPr>
          <w:b/>
          <w:sz w:val="16"/>
          <w:szCs w:val="16"/>
        </w:rPr>
      </w:pPr>
      <w:r>
        <w:t xml:space="preserve">Bazuar në monitorimin e kryer, Plani do të </w:t>
      </w:r>
      <w:r w:rsidRPr="00536419">
        <w:rPr>
          <w:b/>
          <w:i/>
        </w:rPr>
        <w:t>rishikohet dhe përmirësohet</w:t>
      </w:r>
      <w:r>
        <w:t xml:space="preserve"> </w:t>
      </w:r>
      <w:r w:rsidRPr="00536419">
        <w:rPr>
          <w:b/>
        </w:rPr>
        <w:t xml:space="preserve">në </w:t>
      </w:r>
      <w:r>
        <w:rPr>
          <w:b/>
        </w:rPr>
        <w:t>fillim të ç</w:t>
      </w:r>
      <w:r w:rsidRPr="00536419">
        <w:rPr>
          <w:b/>
        </w:rPr>
        <w:t>do viti pasardhës.</w:t>
      </w:r>
    </w:p>
    <w:p w14:paraId="1754758E" w14:textId="77777777" w:rsidR="00842DB6" w:rsidRDefault="00842DB6" w:rsidP="00E247B9">
      <w:pPr>
        <w:jc w:val="both"/>
      </w:pPr>
    </w:p>
    <w:p w14:paraId="1E2E7BB0" w14:textId="77777777" w:rsidR="005039BB" w:rsidRDefault="005039BB" w:rsidP="00E247B9">
      <w:pPr>
        <w:jc w:val="both"/>
      </w:pPr>
    </w:p>
    <w:p w14:paraId="784BE421" w14:textId="77777777" w:rsidR="005039BB" w:rsidRDefault="005039BB" w:rsidP="00E247B9">
      <w:pPr>
        <w:jc w:val="both"/>
      </w:pPr>
    </w:p>
    <w:p w14:paraId="127BB3FC" w14:textId="77777777" w:rsidR="005039BB" w:rsidRPr="00F97B4B" w:rsidRDefault="005039BB" w:rsidP="005039BB">
      <w:pPr>
        <w:spacing w:before="120" w:after="120"/>
        <w:jc w:val="both"/>
        <w:rPr>
          <w:lang w:val="sq-AL"/>
        </w:rPr>
      </w:pPr>
    </w:p>
    <w:p w14:paraId="2EB496E6" w14:textId="599F8DBC" w:rsidR="005039BB" w:rsidRPr="004E3253" w:rsidRDefault="004E3253" w:rsidP="00E247B9">
      <w:pPr>
        <w:jc w:val="both"/>
        <w:rPr>
          <w:b/>
          <w:bCs/>
        </w:rPr>
      </w:pPr>
      <w:r w:rsidRPr="004E3253">
        <w:rPr>
          <w:b/>
          <w:bCs/>
        </w:rPr>
        <w:t xml:space="preserve">Hartues                                                                                  Kryetar </w:t>
      </w:r>
    </w:p>
    <w:p w14:paraId="6FC56AA5" w14:textId="77777777" w:rsidR="004E3253" w:rsidRPr="004E3253" w:rsidRDefault="004E3253" w:rsidP="00E247B9">
      <w:pPr>
        <w:jc w:val="both"/>
        <w:rPr>
          <w:b/>
          <w:bCs/>
        </w:rPr>
      </w:pPr>
    </w:p>
    <w:p w14:paraId="29827F28" w14:textId="724E0DC9" w:rsidR="004E3253" w:rsidRPr="004E3253" w:rsidRDefault="004E3253" w:rsidP="00E247B9">
      <w:pPr>
        <w:jc w:val="both"/>
        <w:rPr>
          <w:b/>
          <w:bCs/>
        </w:rPr>
      </w:pPr>
      <w:r w:rsidRPr="004E3253">
        <w:rPr>
          <w:b/>
          <w:bCs/>
        </w:rPr>
        <w:t>Lavdie Terbuni                                                                   Rrok Dodaj</w:t>
      </w:r>
    </w:p>
    <w:sectPr w:rsidR="004E3253" w:rsidRPr="004E3253" w:rsidSect="008169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4A0E1" w14:textId="77777777" w:rsidR="007B343E" w:rsidRDefault="007B343E" w:rsidP="00C16283">
      <w:r>
        <w:separator/>
      </w:r>
    </w:p>
  </w:endnote>
  <w:endnote w:type="continuationSeparator" w:id="0">
    <w:p w14:paraId="7C042E51" w14:textId="77777777" w:rsidR="007B343E" w:rsidRDefault="007B343E" w:rsidP="00C1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UI-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300551"/>
      <w:docPartObj>
        <w:docPartGallery w:val="Page Numbers (Bottom of Page)"/>
        <w:docPartUnique/>
      </w:docPartObj>
    </w:sdtPr>
    <w:sdtEndPr>
      <w:rPr>
        <w:noProof/>
      </w:rPr>
    </w:sdtEndPr>
    <w:sdtContent>
      <w:p w14:paraId="2ED289BB" w14:textId="77777777" w:rsidR="00D8623A" w:rsidRDefault="00820121">
        <w:pPr>
          <w:pStyle w:val="Footer"/>
          <w:jc w:val="center"/>
        </w:pPr>
        <w:r>
          <w:fldChar w:fldCharType="begin"/>
        </w:r>
        <w:r w:rsidR="00D8623A">
          <w:instrText xml:space="preserve"> PAGE   \* MERGEFORMAT </w:instrText>
        </w:r>
        <w:r>
          <w:fldChar w:fldCharType="separate"/>
        </w:r>
        <w:r w:rsidR="00A065B5">
          <w:rPr>
            <w:noProof/>
          </w:rPr>
          <w:t>2</w:t>
        </w:r>
        <w:r>
          <w:rPr>
            <w:noProof/>
          </w:rPr>
          <w:fldChar w:fldCharType="end"/>
        </w:r>
      </w:p>
    </w:sdtContent>
  </w:sdt>
  <w:p w14:paraId="5DFAA645" w14:textId="77777777" w:rsidR="00D8623A" w:rsidRDefault="00D86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34917" w14:textId="77777777" w:rsidR="007B343E" w:rsidRDefault="007B343E" w:rsidP="00C16283">
      <w:r>
        <w:separator/>
      </w:r>
    </w:p>
  </w:footnote>
  <w:footnote w:type="continuationSeparator" w:id="0">
    <w:p w14:paraId="2B48400E" w14:textId="77777777" w:rsidR="007B343E" w:rsidRDefault="007B343E" w:rsidP="00C16283">
      <w:r>
        <w:continuationSeparator/>
      </w:r>
    </w:p>
  </w:footnote>
  <w:footnote w:id="1">
    <w:p w14:paraId="42943199" w14:textId="77777777" w:rsidR="00842DB6" w:rsidRPr="00A8186C" w:rsidRDefault="00842DB6" w:rsidP="00842DB6">
      <w:pPr>
        <w:pStyle w:val="FootnoteText"/>
        <w:jc w:val="both"/>
        <w:rPr>
          <w:lang w:val="pt-BR"/>
        </w:rPr>
      </w:pPr>
      <w:r>
        <w:rPr>
          <w:rStyle w:val="FootnoteReference"/>
        </w:rPr>
        <w:footnoteRef/>
      </w:r>
      <w:r w:rsidRPr="00A8186C">
        <w:rPr>
          <w:lang w:val="pt-BR"/>
        </w:rPr>
        <w:t xml:space="preserve"> Së bashku me </w:t>
      </w:r>
      <w:r>
        <w:rPr>
          <w:lang w:val="pt-BR"/>
        </w:rPr>
        <w:t>L</w:t>
      </w:r>
      <w:r w:rsidRPr="00A8186C">
        <w:rPr>
          <w:lang w:val="pt-BR"/>
        </w:rPr>
        <w:t xml:space="preserve">igjin </w:t>
      </w:r>
      <w:r>
        <w:rPr>
          <w:lang w:val="pt-BR"/>
        </w:rPr>
        <w:t xml:space="preserve">Nr. </w:t>
      </w:r>
      <w:r w:rsidRPr="00A8186C">
        <w:rPr>
          <w:lang w:val="pt-BR"/>
        </w:rPr>
        <w:t>47/2018 “Për disa shtesa dhe ndryshime në ligjin nr.9669, datë 18.12.2006 “Për masa ndaj dhunës në marrëdhëniet familjare”, i ndryshuar, si dhe me të gjit</w:t>
      </w:r>
      <w:r>
        <w:rPr>
          <w:lang w:val="pt-BR"/>
        </w:rPr>
        <w:t>h</w:t>
      </w:r>
      <w:r w:rsidRPr="00A8186C">
        <w:rPr>
          <w:lang w:val="pt-BR"/>
        </w:rPr>
        <w:t>ë ndrys</w:t>
      </w:r>
      <w:r>
        <w:rPr>
          <w:lang w:val="pt-BR"/>
        </w:rPr>
        <w:t>h</w:t>
      </w:r>
      <w:r w:rsidRPr="00A8186C">
        <w:rPr>
          <w:lang w:val="pt-BR"/>
        </w:rPr>
        <w:t>imet e mëparshme që ka pësuar ligji bazë Nr. 9669/2006.</w:t>
      </w:r>
    </w:p>
  </w:footnote>
  <w:footnote w:id="2">
    <w:p w14:paraId="4A3F8C54" w14:textId="77777777" w:rsidR="00842DB6" w:rsidRPr="004E5283" w:rsidRDefault="00842DB6" w:rsidP="00842DB6">
      <w:pPr>
        <w:pStyle w:val="FootnoteText"/>
        <w:rPr>
          <w:lang w:val="pt-BR"/>
        </w:rPr>
      </w:pPr>
      <w:r>
        <w:rPr>
          <w:rStyle w:val="FootnoteReference"/>
        </w:rPr>
        <w:footnoteRef/>
      </w:r>
      <w:r w:rsidRPr="00024EE7">
        <w:rPr>
          <w:lang w:val="pt-BR"/>
        </w:rPr>
        <w:t xml:space="preserve"> Miratuar me VKM 400, datë 30.06.2021. </w:t>
      </w:r>
      <w:r w:rsidRPr="004E5283">
        <w:rPr>
          <w:lang w:val="pt-BR"/>
        </w:rPr>
        <w:t xml:space="preserve">Shiko: </w:t>
      </w:r>
      <w:hyperlink r:id="rId1" w:history="1">
        <w:r w:rsidRPr="004E5283">
          <w:rPr>
            <w:rStyle w:val="Hyperlink"/>
            <w:lang w:val="pt-BR"/>
          </w:rPr>
          <w:t>https://shendetesia.gov.al/wp-content/uploads/2021/07/Strategjia-Kombetare-per-Barazine-Gjinore-2021-2030.docx</w:t>
        </w:r>
      </w:hyperlink>
      <w:r w:rsidRPr="004E5283">
        <w:rPr>
          <w:lang w:val="pt-B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E6DA0"/>
    <w:multiLevelType w:val="hybridMultilevel"/>
    <w:tmpl w:val="AD2A9B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8797B"/>
    <w:multiLevelType w:val="hybridMultilevel"/>
    <w:tmpl w:val="7F6E21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72604"/>
    <w:multiLevelType w:val="hybridMultilevel"/>
    <w:tmpl w:val="B72A7C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E82747"/>
    <w:multiLevelType w:val="hybridMultilevel"/>
    <w:tmpl w:val="2CC25D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8E106AD"/>
    <w:multiLevelType w:val="hybridMultilevel"/>
    <w:tmpl w:val="322875C2"/>
    <w:lvl w:ilvl="0" w:tplc="08090001">
      <w:start w:val="1"/>
      <w:numFmt w:val="bullet"/>
      <w:lvlText w:val=""/>
      <w:lvlJc w:val="left"/>
      <w:pPr>
        <w:ind w:left="1080" w:hanging="360"/>
      </w:pPr>
      <w:rPr>
        <w:rFonts w:ascii="Symbol" w:hAnsi="Symbol" w:hint="default"/>
      </w:rPr>
    </w:lvl>
    <w:lvl w:ilvl="1" w:tplc="1E805E44">
      <w:numFmt w:val="bullet"/>
      <w:lvlText w:val="-"/>
      <w:lvlJc w:val="left"/>
      <w:pPr>
        <w:ind w:left="2160" w:hanging="720"/>
      </w:pPr>
      <w:rPr>
        <w:rFonts w:ascii="Calibri" w:eastAsia="Batang"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90F215F"/>
    <w:multiLevelType w:val="hybridMultilevel"/>
    <w:tmpl w:val="C1FA29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822F87"/>
    <w:multiLevelType w:val="hybridMultilevel"/>
    <w:tmpl w:val="F57645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A3B3A"/>
    <w:multiLevelType w:val="hybridMultilevel"/>
    <w:tmpl w:val="BE122F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FA19D1"/>
    <w:multiLevelType w:val="multilevel"/>
    <w:tmpl w:val="35BA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EC4F1D"/>
    <w:multiLevelType w:val="hybridMultilevel"/>
    <w:tmpl w:val="ABD817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893AD2"/>
    <w:multiLevelType w:val="multilevel"/>
    <w:tmpl w:val="4BEE3D9A"/>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EC3373E"/>
    <w:multiLevelType w:val="hybridMultilevel"/>
    <w:tmpl w:val="F8489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AD235AC"/>
    <w:multiLevelType w:val="multilevel"/>
    <w:tmpl w:val="E79CFC0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DDE2971"/>
    <w:multiLevelType w:val="multilevel"/>
    <w:tmpl w:val="82D25B98"/>
    <w:lvl w:ilvl="0">
      <w:start w:val="4"/>
      <w:numFmt w:val="decimal"/>
      <w:lvlText w:val="%1."/>
      <w:lvlJc w:val="left"/>
      <w:pPr>
        <w:ind w:left="720" w:hanging="360"/>
      </w:pPr>
      <w:rPr>
        <w:rFonts w:hint="default"/>
      </w:rPr>
    </w:lvl>
    <w:lvl w:ilvl="1">
      <w:start w:val="1"/>
      <w:numFmt w:val="decimal"/>
      <w:lvlText w:val="%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9590CBC"/>
    <w:multiLevelType w:val="hybridMultilevel"/>
    <w:tmpl w:val="5D3EAC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943941">
    <w:abstractNumId w:val="11"/>
  </w:num>
  <w:num w:numId="2" w16cid:durableId="1747150107">
    <w:abstractNumId w:val="2"/>
  </w:num>
  <w:num w:numId="3" w16cid:durableId="1074548044">
    <w:abstractNumId w:val="3"/>
  </w:num>
  <w:num w:numId="4" w16cid:durableId="1441342439">
    <w:abstractNumId w:val="4"/>
  </w:num>
  <w:num w:numId="5" w16cid:durableId="1923251036">
    <w:abstractNumId w:val="10"/>
  </w:num>
  <w:num w:numId="6" w16cid:durableId="342628307">
    <w:abstractNumId w:val="13"/>
  </w:num>
  <w:num w:numId="7" w16cid:durableId="1775516196">
    <w:abstractNumId w:val="12"/>
  </w:num>
  <w:num w:numId="8" w16cid:durableId="469784590">
    <w:abstractNumId w:val="6"/>
  </w:num>
  <w:num w:numId="9" w16cid:durableId="1797603424">
    <w:abstractNumId w:val="9"/>
  </w:num>
  <w:num w:numId="10" w16cid:durableId="1268468533">
    <w:abstractNumId w:val="0"/>
  </w:num>
  <w:num w:numId="11" w16cid:durableId="302541734">
    <w:abstractNumId w:val="1"/>
  </w:num>
  <w:num w:numId="12" w16cid:durableId="1681466881">
    <w:abstractNumId w:val="7"/>
  </w:num>
  <w:num w:numId="13" w16cid:durableId="2005545388">
    <w:abstractNumId w:val="14"/>
  </w:num>
  <w:num w:numId="14" w16cid:durableId="461464035">
    <w:abstractNumId w:val="5"/>
  </w:num>
  <w:num w:numId="15" w16cid:durableId="18120884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8B7"/>
    <w:rsid w:val="00035F37"/>
    <w:rsid w:val="00037ED7"/>
    <w:rsid w:val="000734E1"/>
    <w:rsid w:val="000828F3"/>
    <w:rsid w:val="0008706F"/>
    <w:rsid w:val="0009200C"/>
    <w:rsid w:val="00097E7D"/>
    <w:rsid w:val="00106622"/>
    <w:rsid w:val="00117B59"/>
    <w:rsid w:val="00127706"/>
    <w:rsid w:val="001A4C22"/>
    <w:rsid w:val="001B58D5"/>
    <w:rsid w:val="001C3961"/>
    <w:rsid w:val="001D6581"/>
    <w:rsid w:val="001E16C0"/>
    <w:rsid w:val="001E5A4E"/>
    <w:rsid w:val="002025D5"/>
    <w:rsid w:val="00265138"/>
    <w:rsid w:val="0028329F"/>
    <w:rsid w:val="002C0373"/>
    <w:rsid w:val="002C5E44"/>
    <w:rsid w:val="002E16B0"/>
    <w:rsid w:val="002F6C06"/>
    <w:rsid w:val="00313A0F"/>
    <w:rsid w:val="00336B10"/>
    <w:rsid w:val="00350894"/>
    <w:rsid w:val="00364DEF"/>
    <w:rsid w:val="00366043"/>
    <w:rsid w:val="0037215D"/>
    <w:rsid w:val="003A5E5F"/>
    <w:rsid w:val="003E4E40"/>
    <w:rsid w:val="003F50E5"/>
    <w:rsid w:val="00402BF0"/>
    <w:rsid w:val="00431E99"/>
    <w:rsid w:val="00457E5F"/>
    <w:rsid w:val="004659A4"/>
    <w:rsid w:val="004B5F53"/>
    <w:rsid w:val="004C1915"/>
    <w:rsid w:val="004C323B"/>
    <w:rsid w:val="004D5F8E"/>
    <w:rsid w:val="004E3253"/>
    <w:rsid w:val="004E5805"/>
    <w:rsid w:val="004F0AED"/>
    <w:rsid w:val="004F1A6E"/>
    <w:rsid w:val="005039BB"/>
    <w:rsid w:val="00527317"/>
    <w:rsid w:val="005526DF"/>
    <w:rsid w:val="005679FD"/>
    <w:rsid w:val="005748D2"/>
    <w:rsid w:val="00577F25"/>
    <w:rsid w:val="00582B73"/>
    <w:rsid w:val="0058452F"/>
    <w:rsid w:val="005A54A9"/>
    <w:rsid w:val="0064057F"/>
    <w:rsid w:val="00641F88"/>
    <w:rsid w:val="00653C67"/>
    <w:rsid w:val="006606B1"/>
    <w:rsid w:val="0066118B"/>
    <w:rsid w:val="00690DDD"/>
    <w:rsid w:val="006C0538"/>
    <w:rsid w:val="00713868"/>
    <w:rsid w:val="00780C91"/>
    <w:rsid w:val="00792924"/>
    <w:rsid w:val="007A65ED"/>
    <w:rsid w:val="007B343E"/>
    <w:rsid w:val="007C761C"/>
    <w:rsid w:val="00802ECE"/>
    <w:rsid w:val="008041FF"/>
    <w:rsid w:val="008169A4"/>
    <w:rsid w:val="00820121"/>
    <w:rsid w:val="00842DB6"/>
    <w:rsid w:val="0089603C"/>
    <w:rsid w:val="008C2AB8"/>
    <w:rsid w:val="008C3528"/>
    <w:rsid w:val="008C47A0"/>
    <w:rsid w:val="008C490A"/>
    <w:rsid w:val="008D30DB"/>
    <w:rsid w:val="008E6A41"/>
    <w:rsid w:val="0090599D"/>
    <w:rsid w:val="0091379A"/>
    <w:rsid w:val="00943156"/>
    <w:rsid w:val="00984443"/>
    <w:rsid w:val="009933BA"/>
    <w:rsid w:val="009B0FCC"/>
    <w:rsid w:val="009B28B7"/>
    <w:rsid w:val="009E7B0B"/>
    <w:rsid w:val="009F36E4"/>
    <w:rsid w:val="00A065B5"/>
    <w:rsid w:val="00A122A3"/>
    <w:rsid w:val="00A30C84"/>
    <w:rsid w:val="00A33A43"/>
    <w:rsid w:val="00A652F9"/>
    <w:rsid w:val="00A844C0"/>
    <w:rsid w:val="00A847FC"/>
    <w:rsid w:val="00A938F1"/>
    <w:rsid w:val="00AB051E"/>
    <w:rsid w:val="00AB4D39"/>
    <w:rsid w:val="00AD618A"/>
    <w:rsid w:val="00AF4E71"/>
    <w:rsid w:val="00B17E18"/>
    <w:rsid w:val="00B3233E"/>
    <w:rsid w:val="00B9105C"/>
    <w:rsid w:val="00B93F9F"/>
    <w:rsid w:val="00BB0B33"/>
    <w:rsid w:val="00BB7184"/>
    <w:rsid w:val="00BF30E9"/>
    <w:rsid w:val="00C16283"/>
    <w:rsid w:val="00C277C1"/>
    <w:rsid w:val="00C906BE"/>
    <w:rsid w:val="00CA42DB"/>
    <w:rsid w:val="00CD369B"/>
    <w:rsid w:val="00CD3F1B"/>
    <w:rsid w:val="00D03C98"/>
    <w:rsid w:val="00D205F4"/>
    <w:rsid w:val="00D22CC2"/>
    <w:rsid w:val="00D35786"/>
    <w:rsid w:val="00D521FF"/>
    <w:rsid w:val="00D8623A"/>
    <w:rsid w:val="00DA0238"/>
    <w:rsid w:val="00DC4E7B"/>
    <w:rsid w:val="00E247B9"/>
    <w:rsid w:val="00E31096"/>
    <w:rsid w:val="00EA6D8F"/>
    <w:rsid w:val="00F01352"/>
    <w:rsid w:val="00F12D10"/>
    <w:rsid w:val="00F5448F"/>
    <w:rsid w:val="00F92140"/>
    <w:rsid w:val="00FB7905"/>
    <w:rsid w:val="00FC5F8F"/>
    <w:rsid w:val="00FE2115"/>
    <w:rsid w:val="00FF6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EB8B"/>
  <w15:docId w15:val="{EA35B20A-F140-42D9-9407-8B882750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8B7"/>
    <w:pPr>
      <w:spacing w:after="0" w:line="240" w:lineRule="auto"/>
    </w:pPr>
    <w:rPr>
      <w:rFonts w:ascii="Times New Roman" w:eastAsia="Times New Roman" w:hAnsi="Times New Roman" w:cs="Times New Roman"/>
      <w:kern w:val="0"/>
      <w:sz w:val="24"/>
      <w:szCs w:val="24"/>
      <w:lang w:val="en-US" w:eastAsia="en-GB"/>
    </w:rPr>
  </w:style>
  <w:style w:type="paragraph" w:styleId="Heading1">
    <w:name w:val="heading 1"/>
    <w:basedOn w:val="Normal"/>
    <w:next w:val="Normal"/>
    <w:link w:val="Heading1Char"/>
    <w:uiPriority w:val="9"/>
    <w:qFormat/>
    <w:rsid w:val="009B28B7"/>
    <w:pPr>
      <w:keepNext/>
      <w:keepLines/>
      <w:spacing w:before="360" w:after="80"/>
      <w:outlineLvl w:val="0"/>
    </w:pPr>
    <w:rPr>
      <w:rFonts w:asciiTheme="majorHAnsi" w:eastAsiaTheme="majorEastAsia" w:hAnsiTheme="majorHAnsi" w:cstheme="majorBidi"/>
      <w:color w:val="B3186D" w:themeColor="accent1" w:themeShade="BF"/>
      <w:sz w:val="40"/>
      <w:szCs w:val="40"/>
    </w:rPr>
  </w:style>
  <w:style w:type="paragraph" w:styleId="Heading2">
    <w:name w:val="heading 2"/>
    <w:basedOn w:val="Normal"/>
    <w:next w:val="Normal"/>
    <w:link w:val="Heading2Char"/>
    <w:uiPriority w:val="9"/>
    <w:unhideWhenUsed/>
    <w:qFormat/>
    <w:rsid w:val="009B28B7"/>
    <w:pPr>
      <w:keepNext/>
      <w:keepLines/>
      <w:spacing w:before="160" w:after="80"/>
      <w:outlineLvl w:val="1"/>
    </w:pPr>
    <w:rPr>
      <w:rFonts w:asciiTheme="majorHAnsi" w:eastAsiaTheme="majorEastAsia" w:hAnsiTheme="majorHAnsi" w:cstheme="majorBidi"/>
      <w:color w:val="B3186D" w:themeColor="accent1" w:themeShade="BF"/>
      <w:sz w:val="32"/>
      <w:szCs w:val="32"/>
    </w:rPr>
  </w:style>
  <w:style w:type="paragraph" w:styleId="Heading3">
    <w:name w:val="heading 3"/>
    <w:basedOn w:val="Normal"/>
    <w:next w:val="Normal"/>
    <w:link w:val="Heading3Char"/>
    <w:uiPriority w:val="9"/>
    <w:semiHidden/>
    <w:unhideWhenUsed/>
    <w:qFormat/>
    <w:rsid w:val="009B28B7"/>
    <w:pPr>
      <w:keepNext/>
      <w:keepLines/>
      <w:spacing w:before="160" w:after="80"/>
      <w:outlineLvl w:val="2"/>
    </w:pPr>
    <w:rPr>
      <w:rFonts w:eastAsiaTheme="majorEastAsia" w:cstheme="majorBidi"/>
      <w:color w:val="B3186D" w:themeColor="accent1" w:themeShade="BF"/>
      <w:sz w:val="28"/>
      <w:szCs w:val="28"/>
    </w:rPr>
  </w:style>
  <w:style w:type="paragraph" w:styleId="Heading4">
    <w:name w:val="heading 4"/>
    <w:basedOn w:val="Normal"/>
    <w:next w:val="Normal"/>
    <w:link w:val="Heading4Char"/>
    <w:uiPriority w:val="9"/>
    <w:semiHidden/>
    <w:unhideWhenUsed/>
    <w:qFormat/>
    <w:rsid w:val="009B28B7"/>
    <w:pPr>
      <w:keepNext/>
      <w:keepLines/>
      <w:spacing w:before="80" w:after="40"/>
      <w:outlineLvl w:val="3"/>
    </w:pPr>
    <w:rPr>
      <w:rFonts w:eastAsiaTheme="majorEastAsia" w:cstheme="majorBidi"/>
      <w:i/>
      <w:iCs/>
      <w:color w:val="B3186D" w:themeColor="accent1" w:themeShade="BF"/>
    </w:rPr>
  </w:style>
  <w:style w:type="paragraph" w:styleId="Heading5">
    <w:name w:val="heading 5"/>
    <w:basedOn w:val="Normal"/>
    <w:next w:val="Normal"/>
    <w:link w:val="Heading5Char"/>
    <w:uiPriority w:val="9"/>
    <w:semiHidden/>
    <w:unhideWhenUsed/>
    <w:qFormat/>
    <w:rsid w:val="009B28B7"/>
    <w:pPr>
      <w:keepNext/>
      <w:keepLines/>
      <w:spacing w:before="80" w:after="40"/>
      <w:outlineLvl w:val="4"/>
    </w:pPr>
    <w:rPr>
      <w:rFonts w:eastAsiaTheme="majorEastAsia" w:cstheme="majorBidi"/>
      <w:color w:val="B3186D" w:themeColor="accent1" w:themeShade="BF"/>
    </w:rPr>
  </w:style>
  <w:style w:type="paragraph" w:styleId="Heading6">
    <w:name w:val="heading 6"/>
    <w:basedOn w:val="Normal"/>
    <w:next w:val="Normal"/>
    <w:link w:val="Heading6Char"/>
    <w:uiPriority w:val="9"/>
    <w:semiHidden/>
    <w:unhideWhenUsed/>
    <w:qFormat/>
    <w:rsid w:val="009B28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8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8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8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8B7"/>
    <w:rPr>
      <w:rFonts w:asciiTheme="majorHAnsi" w:eastAsiaTheme="majorEastAsia" w:hAnsiTheme="majorHAnsi" w:cstheme="majorBidi"/>
      <w:color w:val="B3186D" w:themeColor="accent1" w:themeShade="BF"/>
      <w:sz w:val="40"/>
      <w:szCs w:val="40"/>
    </w:rPr>
  </w:style>
  <w:style w:type="character" w:customStyle="1" w:styleId="Heading2Char">
    <w:name w:val="Heading 2 Char"/>
    <w:basedOn w:val="DefaultParagraphFont"/>
    <w:link w:val="Heading2"/>
    <w:uiPriority w:val="9"/>
    <w:rsid w:val="009B28B7"/>
    <w:rPr>
      <w:rFonts w:asciiTheme="majorHAnsi" w:eastAsiaTheme="majorEastAsia" w:hAnsiTheme="majorHAnsi" w:cstheme="majorBidi"/>
      <w:color w:val="B3186D" w:themeColor="accent1" w:themeShade="BF"/>
      <w:sz w:val="32"/>
      <w:szCs w:val="32"/>
    </w:rPr>
  </w:style>
  <w:style w:type="character" w:customStyle="1" w:styleId="Heading3Char">
    <w:name w:val="Heading 3 Char"/>
    <w:basedOn w:val="DefaultParagraphFont"/>
    <w:link w:val="Heading3"/>
    <w:uiPriority w:val="9"/>
    <w:semiHidden/>
    <w:rsid w:val="009B28B7"/>
    <w:rPr>
      <w:rFonts w:eastAsiaTheme="majorEastAsia" w:cstheme="majorBidi"/>
      <w:color w:val="B3186D" w:themeColor="accent1" w:themeShade="BF"/>
      <w:sz w:val="28"/>
      <w:szCs w:val="28"/>
    </w:rPr>
  </w:style>
  <w:style w:type="character" w:customStyle="1" w:styleId="Heading4Char">
    <w:name w:val="Heading 4 Char"/>
    <w:basedOn w:val="DefaultParagraphFont"/>
    <w:link w:val="Heading4"/>
    <w:uiPriority w:val="9"/>
    <w:semiHidden/>
    <w:rsid w:val="009B28B7"/>
    <w:rPr>
      <w:rFonts w:eastAsiaTheme="majorEastAsia" w:cstheme="majorBidi"/>
      <w:i/>
      <w:iCs/>
      <w:color w:val="B3186D" w:themeColor="accent1" w:themeShade="BF"/>
    </w:rPr>
  </w:style>
  <w:style w:type="character" w:customStyle="1" w:styleId="Heading5Char">
    <w:name w:val="Heading 5 Char"/>
    <w:basedOn w:val="DefaultParagraphFont"/>
    <w:link w:val="Heading5"/>
    <w:uiPriority w:val="9"/>
    <w:semiHidden/>
    <w:rsid w:val="009B28B7"/>
    <w:rPr>
      <w:rFonts w:eastAsiaTheme="majorEastAsia" w:cstheme="majorBidi"/>
      <w:color w:val="B3186D" w:themeColor="accent1" w:themeShade="BF"/>
    </w:rPr>
  </w:style>
  <w:style w:type="character" w:customStyle="1" w:styleId="Heading6Char">
    <w:name w:val="Heading 6 Char"/>
    <w:basedOn w:val="DefaultParagraphFont"/>
    <w:link w:val="Heading6"/>
    <w:uiPriority w:val="9"/>
    <w:semiHidden/>
    <w:rsid w:val="009B2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8B7"/>
    <w:rPr>
      <w:rFonts w:eastAsiaTheme="majorEastAsia" w:cstheme="majorBidi"/>
      <w:color w:val="272727" w:themeColor="text1" w:themeTint="D8"/>
    </w:rPr>
  </w:style>
  <w:style w:type="paragraph" w:styleId="Title">
    <w:name w:val="Title"/>
    <w:basedOn w:val="Normal"/>
    <w:next w:val="Normal"/>
    <w:link w:val="TitleChar"/>
    <w:uiPriority w:val="10"/>
    <w:qFormat/>
    <w:rsid w:val="009B28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8B7"/>
    <w:pPr>
      <w:spacing w:before="160"/>
      <w:jc w:val="center"/>
    </w:pPr>
    <w:rPr>
      <w:i/>
      <w:iCs/>
      <w:color w:val="404040" w:themeColor="text1" w:themeTint="BF"/>
    </w:rPr>
  </w:style>
  <w:style w:type="character" w:customStyle="1" w:styleId="QuoteChar">
    <w:name w:val="Quote Char"/>
    <w:basedOn w:val="DefaultParagraphFont"/>
    <w:link w:val="Quote"/>
    <w:uiPriority w:val="29"/>
    <w:rsid w:val="009B28B7"/>
    <w:rPr>
      <w:i/>
      <w:iCs/>
      <w:color w:val="404040" w:themeColor="text1" w:themeTint="BF"/>
    </w:rPr>
  </w:style>
  <w:style w:type="paragraph" w:styleId="ListParagraph">
    <w:name w:val="List Paragraph"/>
    <w:aliases w:val="Casella di testo,List Paragraph (numbered (a)),Bulleted List,Resume Title,ListBullet Paragraph,Normal 2,Bullets,lp1,Bullet1,Normal 1,List Paragraph 1,Akapit z listą BS,NumberedParas,Dot pt,F5 List Paragraph,Indicator Text,Bullet Points"/>
    <w:basedOn w:val="Normal"/>
    <w:link w:val="ListParagraphChar"/>
    <w:uiPriority w:val="34"/>
    <w:qFormat/>
    <w:rsid w:val="009B28B7"/>
    <w:pPr>
      <w:ind w:left="720"/>
      <w:contextualSpacing/>
    </w:pPr>
  </w:style>
  <w:style w:type="character" w:styleId="IntenseEmphasis">
    <w:name w:val="Intense Emphasis"/>
    <w:basedOn w:val="DefaultParagraphFont"/>
    <w:uiPriority w:val="21"/>
    <w:qFormat/>
    <w:rsid w:val="009B28B7"/>
    <w:rPr>
      <w:i/>
      <w:iCs/>
      <w:color w:val="B3186D" w:themeColor="accent1" w:themeShade="BF"/>
    </w:rPr>
  </w:style>
  <w:style w:type="paragraph" w:styleId="IntenseQuote">
    <w:name w:val="Intense Quote"/>
    <w:basedOn w:val="Normal"/>
    <w:next w:val="Normal"/>
    <w:link w:val="IntenseQuoteChar"/>
    <w:uiPriority w:val="30"/>
    <w:qFormat/>
    <w:rsid w:val="009B28B7"/>
    <w:pPr>
      <w:pBdr>
        <w:top w:val="single" w:sz="4" w:space="10" w:color="B3186D" w:themeColor="accent1" w:themeShade="BF"/>
        <w:bottom w:val="single" w:sz="4" w:space="10" w:color="B3186D" w:themeColor="accent1" w:themeShade="BF"/>
      </w:pBdr>
      <w:spacing w:before="360" w:after="360"/>
      <w:ind w:left="864" w:right="864"/>
      <w:jc w:val="center"/>
    </w:pPr>
    <w:rPr>
      <w:i/>
      <w:iCs/>
      <w:color w:val="B3186D" w:themeColor="accent1" w:themeShade="BF"/>
    </w:rPr>
  </w:style>
  <w:style w:type="character" w:customStyle="1" w:styleId="IntenseQuoteChar">
    <w:name w:val="Intense Quote Char"/>
    <w:basedOn w:val="DefaultParagraphFont"/>
    <w:link w:val="IntenseQuote"/>
    <w:uiPriority w:val="30"/>
    <w:rsid w:val="009B28B7"/>
    <w:rPr>
      <w:i/>
      <w:iCs/>
      <w:color w:val="B3186D" w:themeColor="accent1" w:themeShade="BF"/>
    </w:rPr>
  </w:style>
  <w:style w:type="character" w:styleId="IntenseReference">
    <w:name w:val="Intense Reference"/>
    <w:basedOn w:val="DefaultParagraphFont"/>
    <w:uiPriority w:val="32"/>
    <w:qFormat/>
    <w:rsid w:val="009B28B7"/>
    <w:rPr>
      <w:b/>
      <w:bCs/>
      <w:smallCaps/>
      <w:color w:val="B3186D" w:themeColor="accent1" w:themeShade="BF"/>
      <w:spacing w:val="5"/>
    </w:rPr>
  </w:style>
  <w:style w:type="paragraph" w:styleId="FootnoteText">
    <w:name w:val="footnote text"/>
    <w:aliases w:val="ft,single space,footnote text,FOOTNOTES,fn,ADB,pod carou Char Char Char,pod carou Char Char,pod carou Char,Footnote Text Char1 Char Char Char,Footnote Text Char Char Char Char Char,pod carou,Footnote Text Char1 Char,fn1,FA,FA Fußnotentext"/>
    <w:basedOn w:val="Normal"/>
    <w:link w:val="FootnoteTextChar"/>
    <w:uiPriority w:val="99"/>
    <w:unhideWhenUsed/>
    <w:qFormat/>
    <w:rsid w:val="00C16283"/>
    <w:rPr>
      <w:rFonts w:asciiTheme="minorHAnsi" w:eastAsia="MS Mincho" w:hAnsiTheme="minorHAnsi" w:cstheme="minorBidi"/>
      <w:sz w:val="20"/>
      <w:szCs w:val="20"/>
      <w:lang w:eastAsia="en-US"/>
    </w:rPr>
  </w:style>
  <w:style w:type="character" w:customStyle="1" w:styleId="FootnoteTextChar">
    <w:name w:val="Footnote Text Char"/>
    <w:aliases w:val="ft Char,single space Char,footnote text Char,FOOTNOTES Char,fn Char,ADB Char,pod carou Char Char Char Char,pod carou Char Char Char1,pod carou Char Char1,Footnote Text Char1 Char Char Char Char,pod carou Char1,fn1 Char,FA Char"/>
    <w:basedOn w:val="DefaultParagraphFont"/>
    <w:link w:val="FootnoteText"/>
    <w:uiPriority w:val="99"/>
    <w:qFormat/>
    <w:rsid w:val="00C16283"/>
    <w:rPr>
      <w:rFonts w:eastAsia="MS Mincho"/>
      <w:kern w:val="0"/>
      <w:sz w:val="20"/>
      <w:szCs w:val="20"/>
      <w:lang w:val="en-US"/>
    </w:rPr>
  </w:style>
  <w:style w:type="character" w:styleId="FootnoteReference">
    <w:name w:val="footnote reference"/>
    <w:aliases w:val="16 Point Char,Superscript 6 Point Char,ftref Char,BVI fnr Char,nota pié di pagina Char,Footnote symbol Char,Footnote reference number Char,Times 10 Point Char,Exposant 3 Point Char,EN Footnote Reference Char,note TESI Char,callout"/>
    <w:basedOn w:val="DefaultParagraphFont"/>
    <w:link w:val="16Point"/>
    <w:uiPriority w:val="99"/>
    <w:unhideWhenUsed/>
    <w:qFormat/>
    <w:rsid w:val="00C16283"/>
    <w:rPr>
      <w:vertAlign w:val="superscript"/>
    </w:rPr>
  </w:style>
  <w:style w:type="paragraph" w:customStyle="1" w:styleId="16Point">
    <w:name w:val="16 Point"/>
    <w:aliases w:val="Superscript 6 Point,ftref,BVI fnr,nota pié di pagina,Footnote symbol,Footnote reference number,Times 10 Point,Exposant 3 Point,EN Footnote Reference,note TESI,Footnote Reference Char Char Char, Exposant 3 Point, BVI fnr,fr,BVI fnr Car Car"/>
    <w:basedOn w:val="Normal"/>
    <w:link w:val="FootnoteReference"/>
    <w:uiPriority w:val="99"/>
    <w:qFormat/>
    <w:rsid w:val="00C16283"/>
    <w:pPr>
      <w:spacing w:after="160" w:line="240" w:lineRule="exact"/>
    </w:pPr>
    <w:rPr>
      <w:rFonts w:asciiTheme="minorHAnsi" w:eastAsiaTheme="minorHAnsi" w:hAnsiTheme="minorHAnsi" w:cstheme="minorBidi"/>
      <w:kern w:val="2"/>
      <w:sz w:val="22"/>
      <w:szCs w:val="22"/>
      <w:vertAlign w:val="superscript"/>
      <w:lang w:val="en-GB" w:eastAsia="en-US"/>
    </w:rPr>
  </w:style>
  <w:style w:type="character" w:customStyle="1" w:styleId="ListParagraphChar">
    <w:name w:val="List Paragraph Char"/>
    <w:aliases w:val="Casella di testo Char,List Paragraph (numbered (a)) Char,Bulleted List Char,Resume Title Char,ListBullet Paragraph Char,Normal 2 Char,Bullets Char,lp1 Char,Bullet1 Char,Normal 1 Char,List Paragraph 1 Char,Akapit z listą BS Char"/>
    <w:basedOn w:val="DefaultParagraphFont"/>
    <w:link w:val="ListParagraph"/>
    <w:uiPriority w:val="34"/>
    <w:qFormat/>
    <w:rsid w:val="00C16283"/>
  </w:style>
  <w:style w:type="paragraph" w:customStyle="1" w:styleId="BVIfnrCarCarCarCarChar">
    <w:name w:val="BVI fnr Car Car Car Car Char"/>
    <w:basedOn w:val="Normal"/>
    <w:uiPriority w:val="99"/>
    <w:qFormat/>
    <w:rsid w:val="00842DB6"/>
    <w:pPr>
      <w:spacing w:after="160" w:line="240" w:lineRule="exact"/>
    </w:pPr>
    <w:rPr>
      <w:rFonts w:asciiTheme="minorHAnsi" w:eastAsia="Batang" w:hAnsiTheme="minorHAnsi" w:cstheme="minorBidi"/>
      <w:sz w:val="22"/>
      <w:szCs w:val="22"/>
      <w:vertAlign w:val="superscript"/>
      <w:lang w:eastAsia="en-US"/>
    </w:rPr>
  </w:style>
  <w:style w:type="character" w:styleId="Hyperlink">
    <w:name w:val="Hyperlink"/>
    <w:basedOn w:val="DefaultParagraphFont"/>
    <w:uiPriority w:val="99"/>
    <w:unhideWhenUsed/>
    <w:rsid w:val="00842DB6"/>
    <w:rPr>
      <w:color w:val="6B9F25" w:themeColor="hyperlink"/>
      <w:u w:val="single"/>
    </w:rPr>
  </w:style>
  <w:style w:type="table" w:styleId="TableGrid">
    <w:name w:val="Table Grid"/>
    <w:basedOn w:val="TableNormal"/>
    <w:uiPriority w:val="59"/>
    <w:rsid w:val="00842DB6"/>
    <w:pPr>
      <w:spacing w:after="0" w:line="240" w:lineRule="auto"/>
    </w:pPr>
    <w:rPr>
      <w:rFonts w:eastAsia="Batang"/>
      <w:kern w:val="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2F6C06"/>
    <w:pPr>
      <w:spacing w:before="100" w:beforeAutospacing="1" w:after="100" w:afterAutospacing="1"/>
    </w:pPr>
    <w:rPr>
      <w:lang w:val="en-GB"/>
    </w:rPr>
  </w:style>
  <w:style w:type="paragraph" w:styleId="TOCHeading">
    <w:name w:val="TOC Heading"/>
    <w:basedOn w:val="Heading1"/>
    <w:next w:val="Normal"/>
    <w:uiPriority w:val="39"/>
    <w:unhideWhenUsed/>
    <w:qFormat/>
    <w:rsid w:val="00D8623A"/>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D8623A"/>
    <w:pPr>
      <w:spacing w:after="100"/>
    </w:pPr>
  </w:style>
  <w:style w:type="paragraph" w:styleId="TOC2">
    <w:name w:val="toc 2"/>
    <w:basedOn w:val="Normal"/>
    <w:next w:val="Normal"/>
    <w:autoRedefine/>
    <w:uiPriority w:val="39"/>
    <w:unhideWhenUsed/>
    <w:rsid w:val="00D8623A"/>
    <w:pPr>
      <w:spacing w:after="100"/>
      <w:ind w:left="240"/>
    </w:pPr>
  </w:style>
  <w:style w:type="paragraph" w:styleId="Header">
    <w:name w:val="header"/>
    <w:basedOn w:val="Normal"/>
    <w:link w:val="HeaderChar"/>
    <w:uiPriority w:val="99"/>
    <w:unhideWhenUsed/>
    <w:rsid w:val="00D8623A"/>
    <w:pPr>
      <w:tabs>
        <w:tab w:val="center" w:pos="4513"/>
        <w:tab w:val="right" w:pos="9026"/>
      </w:tabs>
    </w:pPr>
  </w:style>
  <w:style w:type="character" w:customStyle="1" w:styleId="HeaderChar">
    <w:name w:val="Header Char"/>
    <w:basedOn w:val="DefaultParagraphFont"/>
    <w:link w:val="Header"/>
    <w:uiPriority w:val="99"/>
    <w:rsid w:val="00D8623A"/>
    <w:rPr>
      <w:rFonts w:ascii="Times New Roman" w:eastAsia="Times New Roman" w:hAnsi="Times New Roman" w:cs="Times New Roman"/>
      <w:kern w:val="0"/>
      <w:sz w:val="24"/>
      <w:szCs w:val="24"/>
      <w:lang w:val="en-US" w:eastAsia="en-GB"/>
    </w:rPr>
  </w:style>
  <w:style w:type="paragraph" w:styleId="Footer">
    <w:name w:val="footer"/>
    <w:basedOn w:val="Normal"/>
    <w:link w:val="FooterChar"/>
    <w:uiPriority w:val="99"/>
    <w:unhideWhenUsed/>
    <w:rsid w:val="00D8623A"/>
    <w:pPr>
      <w:tabs>
        <w:tab w:val="center" w:pos="4513"/>
        <w:tab w:val="right" w:pos="9026"/>
      </w:tabs>
    </w:pPr>
  </w:style>
  <w:style w:type="character" w:customStyle="1" w:styleId="FooterChar">
    <w:name w:val="Footer Char"/>
    <w:basedOn w:val="DefaultParagraphFont"/>
    <w:link w:val="Footer"/>
    <w:uiPriority w:val="99"/>
    <w:rsid w:val="00D8623A"/>
    <w:rPr>
      <w:rFonts w:ascii="Times New Roman" w:eastAsia="Times New Roman" w:hAnsi="Times New Roman" w:cs="Times New Roman"/>
      <w:kern w:val="0"/>
      <w:sz w:val="24"/>
      <w:szCs w:val="24"/>
      <w:lang w:val="en-US" w:eastAsia="en-GB"/>
    </w:rPr>
  </w:style>
  <w:style w:type="paragraph" w:styleId="BalloonText">
    <w:name w:val="Balloon Text"/>
    <w:basedOn w:val="Normal"/>
    <w:link w:val="BalloonTextChar"/>
    <w:uiPriority w:val="99"/>
    <w:semiHidden/>
    <w:unhideWhenUsed/>
    <w:rsid w:val="00A847FC"/>
    <w:rPr>
      <w:rFonts w:ascii="Tahoma" w:hAnsi="Tahoma" w:cs="Tahoma"/>
      <w:sz w:val="16"/>
      <w:szCs w:val="16"/>
    </w:rPr>
  </w:style>
  <w:style w:type="character" w:customStyle="1" w:styleId="BalloonTextChar">
    <w:name w:val="Balloon Text Char"/>
    <w:basedOn w:val="DefaultParagraphFont"/>
    <w:link w:val="BalloonText"/>
    <w:uiPriority w:val="99"/>
    <w:semiHidden/>
    <w:rsid w:val="00A847FC"/>
    <w:rPr>
      <w:rFonts w:ascii="Tahoma" w:eastAsia="Times New Roman" w:hAnsi="Tahoma" w:cs="Tahoma"/>
      <w:kern w:val="0"/>
      <w:sz w:val="16"/>
      <w:szCs w:val="16"/>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s>
</file>

<file path=word/_rels/footnotes.xml.rels><?xml version="1.0" encoding="UTF-8" standalone="yes"?>
<Relationships xmlns="http://schemas.openxmlformats.org/package/2006/relationships"><Relationship Id="rId1" Type="http://schemas.openxmlformats.org/officeDocument/2006/relationships/hyperlink" Target="https://shendetesia.gov.al/wp-content/uploads/2021/07/Strategjia-Kombetare-per-Barazine-Gjinore-2021-2030.docx"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93ABC-2CA2-4A7F-AE52-75A07084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19</Pages>
  <Words>5867</Words>
  <Characters>33446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Qema</dc:creator>
  <cp:lastModifiedBy>Melita Kuci</cp:lastModifiedBy>
  <cp:revision>22</cp:revision>
  <cp:lastPrinted>2026-07-10T12:37:00Z</cp:lastPrinted>
  <dcterms:created xsi:type="dcterms:W3CDTF">2026-06-30T10:26:00Z</dcterms:created>
  <dcterms:modified xsi:type="dcterms:W3CDTF">2026-07-14T08:46:00Z</dcterms:modified>
</cp:coreProperties>
</file>